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6BB" w:rsidRDefault="00FD66BB" w:rsidP="00B56213">
      <w:pPr>
        <w:spacing w:line="240" w:lineRule="auto"/>
        <w:ind w:left="0" w:firstLine="0"/>
        <w:jc w:val="center"/>
        <w:rPr>
          <w:rFonts w:ascii="Times New Roman" w:hAnsi="Times New Roman" w:cs="Times New Roman"/>
          <w:b/>
          <w:sz w:val="24"/>
          <w:szCs w:val="24"/>
        </w:rPr>
      </w:pPr>
    </w:p>
    <w:p w:rsidR="00C2796C" w:rsidRPr="006F3325" w:rsidRDefault="00410397" w:rsidP="00B56213">
      <w:pPr>
        <w:spacing w:line="240" w:lineRule="auto"/>
        <w:ind w:left="0" w:firstLine="0"/>
        <w:jc w:val="center"/>
        <w:rPr>
          <w:rFonts w:ascii="Times New Roman" w:hAnsi="Times New Roman" w:cs="Times New Roman"/>
          <w:b/>
          <w:sz w:val="24"/>
          <w:szCs w:val="24"/>
        </w:rPr>
      </w:pPr>
      <w:r w:rsidRPr="006F3325">
        <w:rPr>
          <w:rFonts w:ascii="Times New Roman" w:hAnsi="Times New Roman" w:cs="Times New Roman"/>
          <w:b/>
          <w:sz w:val="24"/>
          <w:szCs w:val="24"/>
        </w:rPr>
        <w:t xml:space="preserve"> </w:t>
      </w:r>
      <w:r w:rsidR="00B84741" w:rsidRPr="006F3325">
        <w:rPr>
          <w:rFonts w:ascii="Times New Roman" w:hAnsi="Times New Roman"/>
          <w:b/>
          <w:sz w:val="24"/>
          <w:szCs w:val="24"/>
          <w:lang w:val="tr-TR"/>
        </w:rPr>
        <w:t>KEUSAHAWANAN MAMPAN MELALUİ PROSES PEMERKASAAN SOSİOEKONOMİ  DALAM KALANGAN</w:t>
      </w:r>
      <w:r w:rsidR="00B84741" w:rsidRPr="006F3325">
        <w:rPr>
          <w:rFonts w:ascii="Times New Roman" w:eastAsia="Arial Unicode MS" w:hAnsi="Times New Roman"/>
          <w:b/>
          <w:sz w:val="24"/>
          <w:szCs w:val="24"/>
        </w:rPr>
        <w:t xml:space="preserve"> USAHAWAN BIMBINGAN PROGRAM </w:t>
      </w:r>
      <w:r w:rsidR="00B84741" w:rsidRPr="006F3325">
        <w:rPr>
          <w:rFonts w:ascii="Times New Roman" w:eastAsia="Arial Unicode MS" w:hAnsi="Times New Roman"/>
          <w:b/>
          <w:i/>
          <w:sz w:val="24"/>
          <w:szCs w:val="24"/>
        </w:rPr>
        <w:t>2 YEARS EXIT PROGRAMME</w:t>
      </w:r>
      <w:r w:rsidR="00B84741" w:rsidRPr="006F3325">
        <w:rPr>
          <w:rFonts w:ascii="Times New Roman" w:eastAsia="Arial Unicode MS" w:hAnsi="Times New Roman"/>
          <w:b/>
          <w:sz w:val="24"/>
          <w:szCs w:val="24"/>
        </w:rPr>
        <w:t xml:space="preserve"> YANG BERJAYA DI NEGERI SEMBILAN, MALAYSIA</w:t>
      </w:r>
    </w:p>
    <w:p w:rsidR="00C2796C" w:rsidRDefault="00C2796C" w:rsidP="00C2796C">
      <w:pPr>
        <w:ind w:left="0" w:firstLine="0"/>
        <w:jc w:val="center"/>
        <w:rPr>
          <w:rFonts w:ascii="Times New Roman" w:hAnsi="Times New Roman" w:cs="Times New Roman"/>
        </w:rPr>
      </w:pPr>
    </w:p>
    <w:p w:rsidR="00B84741" w:rsidRDefault="00B84741" w:rsidP="00C2796C">
      <w:pPr>
        <w:ind w:left="0" w:firstLine="0"/>
        <w:jc w:val="center"/>
        <w:rPr>
          <w:rFonts w:ascii="Times New Roman" w:hAnsi="Times New Roman" w:cs="Times New Roman"/>
        </w:rPr>
      </w:pPr>
    </w:p>
    <w:p w:rsidR="006F3325" w:rsidRDefault="006F3325" w:rsidP="006F3325">
      <w:pPr>
        <w:spacing w:line="240" w:lineRule="auto"/>
        <w:ind w:left="0" w:firstLine="0"/>
        <w:jc w:val="center"/>
        <w:rPr>
          <w:rFonts w:ascii="Times New Roman" w:hAnsi="Times New Roman" w:cs="Times New Roman"/>
          <w:b/>
          <w:sz w:val="20"/>
          <w:szCs w:val="20"/>
          <w:vertAlign w:val="superscript"/>
        </w:rPr>
      </w:pPr>
      <w:r w:rsidRPr="00745F3A">
        <w:rPr>
          <w:rFonts w:ascii="Times New Roman" w:hAnsi="Times New Roman" w:cs="Times New Roman"/>
          <w:b/>
          <w:sz w:val="20"/>
          <w:szCs w:val="20"/>
        </w:rPr>
        <w:t>Putri Noorafedah, MEGAT TAJUDIN</w:t>
      </w:r>
      <w:r w:rsidR="00745F3A" w:rsidRPr="00745F3A">
        <w:rPr>
          <w:rFonts w:ascii="Times New Roman" w:hAnsi="Times New Roman" w:cs="Times New Roman"/>
          <w:b/>
          <w:sz w:val="20"/>
          <w:szCs w:val="20"/>
          <w:vertAlign w:val="superscript"/>
        </w:rPr>
        <w:t>1</w:t>
      </w:r>
      <w:r w:rsidRPr="00745F3A">
        <w:rPr>
          <w:rFonts w:ascii="Times New Roman" w:hAnsi="Times New Roman" w:cs="Times New Roman"/>
          <w:b/>
          <w:sz w:val="20"/>
          <w:szCs w:val="20"/>
        </w:rPr>
        <w:t>, Khairuddin, IDRIS</w:t>
      </w:r>
      <w:r w:rsidR="00745F3A" w:rsidRPr="00745F3A">
        <w:rPr>
          <w:rFonts w:ascii="Times New Roman" w:hAnsi="Times New Roman" w:cs="Times New Roman"/>
          <w:b/>
          <w:sz w:val="20"/>
          <w:szCs w:val="20"/>
          <w:vertAlign w:val="superscript"/>
        </w:rPr>
        <w:t>2</w:t>
      </w:r>
      <w:r w:rsidRPr="00745F3A">
        <w:rPr>
          <w:rFonts w:ascii="Times New Roman" w:hAnsi="Times New Roman" w:cs="Times New Roman"/>
          <w:b/>
          <w:sz w:val="20"/>
          <w:szCs w:val="20"/>
        </w:rPr>
        <w:t>, Nur</w:t>
      </w:r>
      <w:r w:rsidR="00780415">
        <w:rPr>
          <w:rFonts w:ascii="Times New Roman" w:hAnsi="Times New Roman" w:cs="Times New Roman"/>
          <w:b/>
          <w:sz w:val="20"/>
          <w:szCs w:val="20"/>
        </w:rPr>
        <w:t xml:space="preserve"> A</w:t>
      </w:r>
      <w:r w:rsidRPr="00745F3A">
        <w:rPr>
          <w:rFonts w:ascii="Times New Roman" w:hAnsi="Times New Roman" w:cs="Times New Roman"/>
          <w:b/>
          <w:sz w:val="20"/>
          <w:szCs w:val="20"/>
        </w:rPr>
        <w:t>ira, ABD RAHIM</w:t>
      </w:r>
      <w:r w:rsidR="00745F3A" w:rsidRPr="00745F3A">
        <w:rPr>
          <w:rFonts w:ascii="Times New Roman" w:hAnsi="Times New Roman" w:cs="Times New Roman"/>
          <w:b/>
          <w:sz w:val="20"/>
          <w:szCs w:val="20"/>
          <w:vertAlign w:val="superscript"/>
        </w:rPr>
        <w:t>3</w:t>
      </w:r>
      <w:r w:rsidRPr="00745F3A">
        <w:rPr>
          <w:rFonts w:ascii="Times New Roman" w:hAnsi="Times New Roman" w:cs="Times New Roman"/>
          <w:b/>
          <w:sz w:val="20"/>
          <w:szCs w:val="20"/>
        </w:rPr>
        <w:t>, Mohd.Mursyid, ARSHAD</w:t>
      </w:r>
      <w:r w:rsidR="00745F3A" w:rsidRPr="00745F3A">
        <w:rPr>
          <w:rFonts w:ascii="Times New Roman" w:hAnsi="Times New Roman" w:cs="Times New Roman"/>
          <w:b/>
          <w:sz w:val="20"/>
          <w:szCs w:val="20"/>
          <w:vertAlign w:val="superscript"/>
        </w:rPr>
        <w:t>4</w:t>
      </w:r>
    </w:p>
    <w:p w:rsidR="00B84741" w:rsidRDefault="00B84741" w:rsidP="006F3325">
      <w:pPr>
        <w:spacing w:line="240" w:lineRule="auto"/>
        <w:ind w:left="0" w:firstLine="0"/>
        <w:jc w:val="center"/>
        <w:rPr>
          <w:rFonts w:ascii="Times New Roman" w:hAnsi="Times New Roman" w:cs="Times New Roman"/>
          <w:b/>
          <w:sz w:val="20"/>
          <w:szCs w:val="20"/>
          <w:vertAlign w:val="superscript"/>
        </w:rPr>
      </w:pPr>
    </w:p>
    <w:p w:rsidR="00745F3A" w:rsidRPr="00745F3A" w:rsidRDefault="006F3325" w:rsidP="006F3325">
      <w:pPr>
        <w:spacing w:line="240" w:lineRule="auto"/>
        <w:ind w:left="0" w:firstLine="0"/>
        <w:jc w:val="center"/>
        <w:rPr>
          <w:rFonts w:ascii="Times New Roman" w:hAnsi="Times New Roman" w:cs="Times New Roman"/>
          <w:sz w:val="20"/>
          <w:szCs w:val="20"/>
        </w:rPr>
      </w:pPr>
      <w:r w:rsidRPr="00745F3A">
        <w:rPr>
          <w:rFonts w:ascii="Times New Roman" w:hAnsi="Times New Roman" w:cs="Times New Roman"/>
          <w:sz w:val="20"/>
          <w:szCs w:val="20"/>
        </w:rPr>
        <w:t>Institut Pengajian Sains Sosial (IPSAS)</w:t>
      </w:r>
      <w:r w:rsidR="00745F3A" w:rsidRPr="00745F3A">
        <w:rPr>
          <w:rFonts w:ascii="Times New Roman" w:hAnsi="Times New Roman" w:cs="Times New Roman"/>
          <w:sz w:val="20"/>
          <w:szCs w:val="20"/>
          <w:vertAlign w:val="superscript"/>
        </w:rPr>
        <w:t>1</w:t>
      </w:r>
      <w:r w:rsidRPr="00745F3A">
        <w:rPr>
          <w:rFonts w:ascii="Times New Roman" w:hAnsi="Times New Roman" w:cs="Times New Roman"/>
          <w:sz w:val="20"/>
          <w:szCs w:val="20"/>
          <w:vertAlign w:val="superscript"/>
        </w:rPr>
        <w:t>,</w:t>
      </w:r>
      <w:r w:rsidR="00745F3A" w:rsidRPr="00745F3A">
        <w:rPr>
          <w:rFonts w:ascii="Times New Roman" w:hAnsi="Times New Roman" w:cs="Times New Roman"/>
          <w:sz w:val="20"/>
          <w:szCs w:val="20"/>
          <w:vertAlign w:val="superscript"/>
        </w:rPr>
        <w:t xml:space="preserve">2 </w:t>
      </w:r>
    </w:p>
    <w:p w:rsidR="006F3325" w:rsidRPr="00745F3A" w:rsidRDefault="006F3325" w:rsidP="006F3325">
      <w:pPr>
        <w:spacing w:line="240" w:lineRule="auto"/>
        <w:ind w:left="0" w:firstLine="0"/>
        <w:jc w:val="center"/>
        <w:rPr>
          <w:rFonts w:ascii="Times New Roman" w:hAnsi="Times New Roman" w:cs="Times New Roman"/>
          <w:sz w:val="20"/>
          <w:szCs w:val="20"/>
        </w:rPr>
      </w:pPr>
      <w:r w:rsidRPr="00745F3A">
        <w:rPr>
          <w:rFonts w:ascii="Times New Roman" w:hAnsi="Times New Roman" w:cs="Times New Roman"/>
          <w:sz w:val="20"/>
          <w:szCs w:val="20"/>
        </w:rPr>
        <w:t>Jabatan Pemajuan Profesional dan Pendidikan Lanjutan (JPPPL)</w:t>
      </w:r>
      <w:r w:rsidR="00745F3A" w:rsidRPr="00745F3A">
        <w:rPr>
          <w:rFonts w:ascii="Times New Roman" w:hAnsi="Times New Roman" w:cs="Times New Roman"/>
          <w:sz w:val="20"/>
          <w:szCs w:val="20"/>
          <w:vertAlign w:val="superscript"/>
        </w:rPr>
        <w:t>3,4</w:t>
      </w:r>
    </w:p>
    <w:p w:rsidR="006F3325" w:rsidRPr="00745F3A" w:rsidRDefault="006F3325" w:rsidP="006F3325">
      <w:pPr>
        <w:spacing w:line="240" w:lineRule="auto"/>
        <w:ind w:left="0" w:firstLine="0"/>
        <w:jc w:val="center"/>
        <w:rPr>
          <w:rFonts w:ascii="Times New Roman" w:hAnsi="Times New Roman" w:cs="Times New Roman"/>
          <w:sz w:val="20"/>
          <w:szCs w:val="20"/>
        </w:rPr>
      </w:pPr>
      <w:r w:rsidRPr="00745F3A">
        <w:rPr>
          <w:rFonts w:ascii="Times New Roman" w:hAnsi="Times New Roman" w:cs="Times New Roman"/>
          <w:sz w:val="20"/>
          <w:szCs w:val="20"/>
        </w:rPr>
        <w:t>putrinoorafedah@gmail.com</w:t>
      </w:r>
      <w:r w:rsidR="00745F3A" w:rsidRPr="00745F3A">
        <w:rPr>
          <w:rFonts w:ascii="Times New Roman" w:hAnsi="Times New Roman" w:cs="Times New Roman"/>
          <w:sz w:val="20"/>
          <w:szCs w:val="20"/>
          <w:vertAlign w:val="superscript"/>
        </w:rPr>
        <w:t>1</w:t>
      </w:r>
      <w:r w:rsidR="00745F3A">
        <w:rPr>
          <w:rFonts w:ascii="Times New Roman" w:hAnsi="Times New Roman" w:cs="Times New Roman"/>
          <w:sz w:val="20"/>
          <w:szCs w:val="20"/>
        </w:rPr>
        <w:t xml:space="preserve">, </w:t>
      </w:r>
      <w:r w:rsidR="00745F3A" w:rsidRPr="00745F3A">
        <w:rPr>
          <w:rFonts w:ascii="Times New Roman" w:hAnsi="Times New Roman" w:cs="Times New Roman"/>
          <w:sz w:val="20"/>
          <w:szCs w:val="20"/>
        </w:rPr>
        <w:t>kidin@putra.edu.my</w:t>
      </w:r>
      <w:r w:rsidR="00745F3A" w:rsidRPr="00745F3A">
        <w:rPr>
          <w:rFonts w:ascii="Times New Roman" w:hAnsi="Times New Roman" w:cs="Times New Roman"/>
          <w:sz w:val="20"/>
          <w:szCs w:val="20"/>
          <w:vertAlign w:val="superscript"/>
        </w:rPr>
        <w:t>2</w:t>
      </w:r>
      <w:r w:rsidR="00745F3A">
        <w:rPr>
          <w:rFonts w:ascii="Times New Roman" w:hAnsi="Times New Roman" w:cs="Times New Roman"/>
          <w:sz w:val="20"/>
          <w:szCs w:val="20"/>
        </w:rPr>
        <w:t xml:space="preserve">, </w:t>
      </w:r>
      <w:r w:rsidR="00745F3A" w:rsidRPr="00745F3A">
        <w:rPr>
          <w:rFonts w:ascii="Times New Roman" w:hAnsi="Times New Roman" w:cs="Times New Roman"/>
          <w:sz w:val="20"/>
          <w:szCs w:val="20"/>
        </w:rPr>
        <w:t>nuraira@upm.edu.my</w:t>
      </w:r>
      <w:r w:rsidR="00745F3A" w:rsidRPr="00745F3A">
        <w:rPr>
          <w:rFonts w:ascii="Times New Roman" w:hAnsi="Times New Roman" w:cs="Times New Roman"/>
          <w:sz w:val="20"/>
          <w:szCs w:val="20"/>
          <w:vertAlign w:val="superscript"/>
        </w:rPr>
        <w:t>3</w:t>
      </w:r>
      <w:r w:rsidR="00745F3A">
        <w:rPr>
          <w:rFonts w:ascii="Times New Roman" w:hAnsi="Times New Roman" w:cs="Times New Roman"/>
          <w:sz w:val="20"/>
          <w:szCs w:val="20"/>
        </w:rPr>
        <w:t xml:space="preserve">, </w:t>
      </w:r>
      <w:r w:rsidR="00745F3A" w:rsidRPr="00745F3A">
        <w:rPr>
          <w:rFonts w:ascii="Times New Roman" w:hAnsi="Times New Roman" w:cs="Times New Roman"/>
          <w:sz w:val="20"/>
          <w:szCs w:val="20"/>
        </w:rPr>
        <w:t>m_mursyid@upm.edu.my</w:t>
      </w:r>
      <w:r w:rsidR="00745F3A" w:rsidRPr="00745F3A">
        <w:rPr>
          <w:rFonts w:ascii="Times New Roman" w:hAnsi="Times New Roman" w:cs="Times New Roman"/>
          <w:sz w:val="20"/>
          <w:szCs w:val="20"/>
          <w:vertAlign w:val="superscript"/>
        </w:rPr>
        <w:t>4</w:t>
      </w:r>
    </w:p>
    <w:p w:rsidR="00C2796C" w:rsidRDefault="00C2796C" w:rsidP="00C2796C">
      <w:pPr>
        <w:spacing w:line="240" w:lineRule="auto"/>
        <w:ind w:left="0" w:firstLine="0"/>
        <w:jc w:val="center"/>
        <w:rPr>
          <w:rFonts w:ascii="Times New Roman" w:hAnsi="Times New Roman" w:cs="Times New Roman"/>
        </w:rPr>
      </w:pPr>
    </w:p>
    <w:p w:rsidR="00B84741" w:rsidRDefault="00B84741" w:rsidP="00C2796C">
      <w:pPr>
        <w:spacing w:line="240" w:lineRule="auto"/>
        <w:ind w:left="0" w:firstLine="0"/>
        <w:jc w:val="center"/>
        <w:rPr>
          <w:rFonts w:ascii="Times New Roman" w:hAnsi="Times New Roman" w:cs="Times New Roman"/>
        </w:rPr>
      </w:pPr>
    </w:p>
    <w:p w:rsidR="00B84741" w:rsidRPr="00033015" w:rsidRDefault="00B84741" w:rsidP="00C2796C">
      <w:pPr>
        <w:spacing w:line="240" w:lineRule="auto"/>
        <w:ind w:left="0" w:firstLine="0"/>
        <w:jc w:val="center"/>
        <w:rPr>
          <w:rFonts w:ascii="Times New Roman" w:hAnsi="Times New Roman" w:cs="Times New Roman"/>
        </w:rPr>
      </w:pPr>
    </w:p>
    <w:tbl>
      <w:tblPr>
        <w:tblStyle w:val="TableGrid"/>
        <w:tblW w:w="8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5"/>
      </w:tblGrid>
      <w:tr w:rsidR="00F75750" w:rsidRPr="002F6154" w:rsidTr="00DE5247">
        <w:trPr>
          <w:trHeight w:val="1141"/>
        </w:trPr>
        <w:tc>
          <w:tcPr>
            <w:tcW w:w="8805" w:type="dxa"/>
          </w:tcPr>
          <w:p w:rsidR="00F75750" w:rsidRPr="00944059" w:rsidRDefault="00F75750" w:rsidP="00944059">
            <w:pPr>
              <w:jc w:val="center"/>
              <w:rPr>
                <w:rStyle w:val="hps"/>
                <w:rFonts w:ascii="Times New Roman" w:hAnsi="Times New Roman" w:cs="Times New Roman"/>
                <w:b/>
                <w:sz w:val="24"/>
                <w:szCs w:val="24"/>
              </w:rPr>
            </w:pPr>
            <w:r w:rsidRPr="00944059">
              <w:rPr>
                <w:rStyle w:val="hps"/>
                <w:rFonts w:ascii="Times New Roman" w:hAnsi="Times New Roman" w:cs="Times New Roman"/>
                <w:b/>
                <w:sz w:val="24"/>
                <w:szCs w:val="24"/>
              </w:rPr>
              <w:t>Abstract</w:t>
            </w:r>
            <w:r w:rsidR="002F12F5" w:rsidRPr="00944059">
              <w:rPr>
                <w:rStyle w:val="hps"/>
                <w:rFonts w:ascii="Times New Roman" w:hAnsi="Times New Roman" w:cs="Times New Roman"/>
                <w:b/>
                <w:sz w:val="24"/>
                <w:szCs w:val="24"/>
              </w:rPr>
              <w:t>*</w:t>
            </w:r>
          </w:p>
          <w:p w:rsidR="00944059" w:rsidRPr="00944059" w:rsidRDefault="00944059" w:rsidP="00944059">
            <w:pPr>
              <w:jc w:val="both"/>
              <w:rPr>
                <w:rStyle w:val="hps"/>
                <w:rFonts w:ascii="Times New Roman" w:hAnsi="Times New Roman" w:cs="Times New Roman"/>
                <w:sz w:val="24"/>
                <w:szCs w:val="24"/>
              </w:rPr>
            </w:pPr>
            <w:r w:rsidRPr="00944059">
              <w:rPr>
                <w:rStyle w:val="hps"/>
                <w:rFonts w:ascii="Times New Roman" w:hAnsi="Times New Roman" w:cs="Times New Roman"/>
                <w:sz w:val="24"/>
                <w:szCs w:val="24"/>
              </w:rPr>
              <w:t>One way to eradicate poverty is through the implementation of an entrepreneurial empowerment program. In this regard, various entrepreneurial empowerment initiatives have been undertaken by the government and the private sector to strengthen the socioeconomic status of the poor and marginalized. However, overall, the percentage of survival rates of Small and Medium Enterprises entrepreneurs is low. The Department of Social Welfare Malaysia (JKMM) also helped in improving the standard of living of productive recipients through the Socioeconomic Empowerment Program, the 2 Years Exit Program</w:t>
            </w:r>
            <w:r>
              <w:rPr>
                <w:rStyle w:val="hps"/>
                <w:rFonts w:ascii="Times New Roman" w:hAnsi="Times New Roman" w:cs="Times New Roman"/>
                <w:sz w:val="24"/>
                <w:szCs w:val="24"/>
              </w:rPr>
              <w:t>m</w:t>
            </w:r>
            <w:r>
              <w:rPr>
                <w:rStyle w:val="hps"/>
                <w:rFonts w:cs="Times New Roman"/>
                <w:sz w:val="24"/>
                <w:szCs w:val="24"/>
              </w:rPr>
              <w:t>e</w:t>
            </w:r>
            <w:r w:rsidRPr="00944059">
              <w:rPr>
                <w:rStyle w:val="hps"/>
                <w:rFonts w:ascii="Times New Roman" w:hAnsi="Times New Roman" w:cs="Times New Roman"/>
                <w:sz w:val="24"/>
                <w:szCs w:val="24"/>
              </w:rPr>
              <w:t xml:space="preserve"> (2YEP). Therefore, the purpose of this study is to explore how the guided entrepreneurs in the 2YEP Program</w:t>
            </w:r>
            <w:r>
              <w:rPr>
                <w:rStyle w:val="hps"/>
                <w:rFonts w:ascii="Times New Roman" w:hAnsi="Times New Roman" w:cs="Times New Roman"/>
                <w:sz w:val="24"/>
                <w:szCs w:val="24"/>
              </w:rPr>
              <w:t>me</w:t>
            </w:r>
            <w:r w:rsidRPr="00944059">
              <w:rPr>
                <w:rStyle w:val="hps"/>
                <w:rFonts w:ascii="Times New Roman" w:hAnsi="Times New Roman" w:cs="Times New Roman"/>
                <w:sz w:val="24"/>
                <w:szCs w:val="24"/>
              </w:rPr>
              <w:t xml:space="preserve"> achieve</w:t>
            </w:r>
            <w:r>
              <w:rPr>
                <w:rStyle w:val="hps"/>
                <w:rFonts w:ascii="Times New Roman" w:hAnsi="Times New Roman" w:cs="Times New Roman"/>
                <w:sz w:val="24"/>
                <w:szCs w:val="24"/>
              </w:rPr>
              <w:t>d</w:t>
            </w:r>
            <w:r w:rsidRPr="00944059">
              <w:rPr>
                <w:rStyle w:val="hps"/>
                <w:rFonts w:ascii="Times New Roman" w:hAnsi="Times New Roman" w:cs="Times New Roman"/>
                <w:sz w:val="24"/>
                <w:szCs w:val="24"/>
              </w:rPr>
              <w:t xml:space="preserve"> long-term sustainability. Through in-depth interviewing, non-participant observation, document analysis and theme analysis, the study found four main themes that answered the research question: Efficient Management System</w:t>
            </w:r>
            <w:r w:rsidR="00DE5247">
              <w:rPr>
                <w:rStyle w:val="hps"/>
                <w:rFonts w:ascii="Times New Roman" w:hAnsi="Times New Roman" w:cs="Times New Roman"/>
                <w:sz w:val="24"/>
                <w:szCs w:val="24"/>
              </w:rPr>
              <w:t>;</w:t>
            </w:r>
            <w:r w:rsidRPr="00944059">
              <w:rPr>
                <w:rStyle w:val="hps"/>
                <w:rFonts w:ascii="Times New Roman" w:hAnsi="Times New Roman" w:cs="Times New Roman"/>
                <w:sz w:val="24"/>
                <w:szCs w:val="24"/>
              </w:rPr>
              <w:t xml:space="preserve"> </w:t>
            </w:r>
            <w:r>
              <w:rPr>
                <w:rStyle w:val="hps"/>
                <w:rFonts w:ascii="Times New Roman" w:hAnsi="Times New Roman" w:cs="Times New Roman"/>
                <w:sz w:val="24"/>
                <w:szCs w:val="24"/>
              </w:rPr>
              <w:t>Efficient</w:t>
            </w:r>
            <w:r w:rsidRPr="00944059">
              <w:rPr>
                <w:rStyle w:val="hps"/>
                <w:rFonts w:ascii="Times New Roman" w:hAnsi="Times New Roman" w:cs="Times New Roman"/>
                <w:sz w:val="24"/>
                <w:szCs w:val="24"/>
              </w:rPr>
              <w:t xml:space="preserve"> </w:t>
            </w:r>
            <w:r>
              <w:rPr>
                <w:rStyle w:val="hps"/>
                <w:rFonts w:ascii="Times New Roman" w:hAnsi="Times New Roman" w:cs="Times New Roman"/>
                <w:sz w:val="24"/>
                <w:szCs w:val="24"/>
              </w:rPr>
              <w:t>Living</w:t>
            </w:r>
            <w:r w:rsidR="00DE5247">
              <w:rPr>
                <w:rStyle w:val="hps"/>
                <w:rFonts w:ascii="Times New Roman" w:hAnsi="Times New Roman" w:cs="Times New Roman"/>
                <w:sz w:val="24"/>
                <w:szCs w:val="24"/>
              </w:rPr>
              <w:t>;</w:t>
            </w:r>
            <w:r w:rsidRPr="00944059">
              <w:rPr>
                <w:rStyle w:val="hps"/>
                <w:rFonts w:ascii="Times New Roman" w:hAnsi="Times New Roman" w:cs="Times New Roman"/>
                <w:sz w:val="24"/>
                <w:szCs w:val="24"/>
              </w:rPr>
              <w:t xml:space="preserve"> Entrepreneurial Characteristics</w:t>
            </w:r>
            <w:r w:rsidR="00DE5247">
              <w:rPr>
                <w:rStyle w:val="hps"/>
                <w:rFonts w:ascii="Times New Roman" w:hAnsi="Times New Roman" w:cs="Times New Roman"/>
                <w:sz w:val="24"/>
                <w:szCs w:val="24"/>
              </w:rPr>
              <w:t>;</w:t>
            </w:r>
            <w:r w:rsidRPr="00944059">
              <w:rPr>
                <w:rStyle w:val="hps"/>
                <w:rFonts w:ascii="Times New Roman" w:hAnsi="Times New Roman" w:cs="Times New Roman"/>
                <w:sz w:val="24"/>
                <w:szCs w:val="24"/>
              </w:rPr>
              <w:t xml:space="preserve"> and </w:t>
            </w:r>
            <w:r w:rsidR="00DE5247">
              <w:rPr>
                <w:rStyle w:val="hps"/>
                <w:rFonts w:ascii="Times New Roman" w:hAnsi="Times New Roman" w:cs="Times New Roman"/>
                <w:sz w:val="24"/>
                <w:szCs w:val="24"/>
              </w:rPr>
              <w:t xml:space="preserve">Using </w:t>
            </w:r>
            <w:r w:rsidRPr="00944059">
              <w:rPr>
                <w:rStyle w:val="hps"/>
                <w:rFonts w:ascii="Times New Roman" w:hAnsi="Times New Roman" w:cs="Times New Roman"/>
                <w:sz w:val="24"/>
                <w:szCs w:val="24"/>
              </w:rPr>
              <w:t xml:space="preserve">Social Capital. </w:t>
            </w:r>
            <w:r w:rsidR="00DE5247" w:rsidRPr="00DE5247">
              <w:rPr>
                <w:rStyle w:val="hps"/>
                <w:rFonts w:ascii="Times New Roman" w:hAnsi="Times New Roman" w:cs="Times New Roman"/>
                <w:sz w:val="24"/>
                <w:szCs w:val="24"/>
              </w:rPr>
              <w:t>Based on these findings, the study recommends that future studies be conducted through different methods and theories as well as comparing with other entrepreneurial development programs. In addition, it is recommended that providers of community education and entrepreneurship development programs such as JKM</w:t>
            </w:r>
            <w:r w:rsidR="00DE5247">
              <w:rPr>
                <w:rStyle w:val="hps"/>
                <w:rFonts w:ascii="Times New Roman" w:hAnsi="Times New Roman" w:cs="Times New Roman"/>
                <w:sz w:val="24"/>
                <w:szCs w:val="24"/>
              </w:rPr>
              <w:t>M</w:t>
            </w:r>
            <w:r w:rsidR="00DE5247" w:rsidRPr="00DE5247">
              <w:rPr>
                <w:rStyle w:val="hps"/>
                <w:rFonts w:ascii="Times New Roman" w:hAnsi="Times New Roman" w:cs="Times New Roman"/>
                <w:sz w:val="24"/>
                <w:szCs w:val="24"/>
              </w:rPr>
              <w:t>, funding agencies, state governments and spiritual institutions maintain regular monitoring relationships in maintaining and strengthening entrepreneurs' guidance towards long-term sustainability.</w:t>
            </w:r>
          </w:p>
          <w:p w:rsidR="00944059" w:rsidRPr="00944059" w:rsidRDefault="00944059" w:rsidP="00944059">
            <w:pPr>
              <w:jc w:val="both"/>
              <w:rPr>
                <w:rStyle w:val="hps"/>
                <w:rFonts w:ascii="Times New Roman" w:hAnsi="Times New Roman" w:cs="Times New Roman"/>
                <w:sz w:val="24"/>
                <w:szCs w:val="24"/>
              </w:rPr>
            </w:pPr>
          </w:p>
        </w:tc>
      </w:tr>
      <w:tr w:rsidR="00F75750" w:rsidRPr="002F6154" w:rsidTr="00DE5247">
        <w:trPr>
          <w:trHeight w:val="353"/>
        </w:trPr>
        <w:tc>
          <w:tcPr>
            <w:tcW w:w="8805" w:type="dxa"/>
            <w:vAlign w:val="center"/>
          </w:tcPr>
          <w:p w:rsidR="00F75750" w:rsidRPr="00B84741" w:rsidRDefault="00F75750" w:rsidP="00B84741">
            <w:pPr>
              <w:ind w:left="1276" w:hanging="1276"/>
              <w:jc w:val="both"/>
              <w:rPr>
                <w:rFonts w:ascii="Times New Roman" w:hAnsi="Times New Roman" w:cs="Times New Roman"/>
                <w:sz w:val="24"/>
                <w:szCs w:val="24"/>
                <w:lang w:val="id-ID"/>
              </w:rPr>
            </w:pPr>
            <w:r w:rsidRPr="00B84741">
              <w:rPr>
                <w:rFonts w:ascii="Times New Roman" w:hAnsi="Times New Roman" w:cs="Times New Roman"/>
                <w:b/>
                <w:sz w:val="24"/>
                <w:szCs w:val="24"/>
                <w:lang w:val="id-ID"/>
              </w:rPr>
              <w:t xml:space="preserve">Keywords: </w:t>
            </w:r>
            <w:r w:rsidR="00DE5247" w:rsidRPr="00B84741">
              <w:rPr>
                <w:rFonts w:ascii="Times New Roman" w:hAnsi="Times New Roman" w:cs="Times New Roman"/>
                <w:b/>
                <w:sz w:val="24"/>
                <w:szCs w:val="24"/>
                <w:lang w:val="id-ID"/>
              </w:rPr>
              <w:t>Empowerment, Poverty Eradication, Entrepreneurship, Sustainability, Welfare Recipients, Case Studies</w:t>
            </w:r>
          </w:p>
        </w:tc>
      </w:tr>
      <w:tr w:rsidR="00B84741" w:rsidRPr="00B84741" w:rsidTr="00DE5247">
        <w:trPr>
          <w:trHeight w:val="353"/>
        </w:trPr>
        <w:tc>
          <w:tcPr>
            <w:tcW w:w="8805" w:type="dxa"/>
            <w:vAlign w:val="center"/>
          </w:tcPr>
          <w:p w:rsidR="00B84741" w:rsidRPr="00B84741" w:rsidRDefault="00B84741" w:rsidP="00F75750">
            <w:pPr>
              <w:rPr>
                <w:rFonts w:ascii="Times New Roman" w:hAnsi="Times New Roman" w:cs="Times New Roman"/>
                <w:sz w:val="24"/>
                <w:szCs w:val="24"/>
              </w:rPr>
            </w:pPr>
          </w:p>
          <w:p w:rsidR="00B84741" w:rsidRPr="00B84741" w:rsidRDefault="00B84741" w:rsidP="00F75750">
            <w:pPr>
              <w:rPr>
                <w:rFonts w:ascii="Times New Roman" w:hAnsi="Times New Roman" w:cs="Times New Roman"/>
                <w:sz w:val="24"/>
                <w:szCs w:val="24"/>
                <w:lang w:val="id-ID"/>
              </w:rPr>
            </w:pPr>
            <w:r w:rsidRPr="00B84741">
              <w:rPr>
                <w:rFonts w:ascii="Times New Roman" w:hAnsi="Times New Roman" w:cs="Times New Roman"/>
                <w:sz w:val="24"/>
                <w:szCs w:val="24"/>
                <w:lang w:val="id-ID"/>
              </w:rPr>
              <w:t>Sustainable Entrepreneurship Through the Socio-Economic Empowerment Process among Successful 2 Year Exit Program</w:t>
            </w:r>
            <w:r w:rsidRPr="00B84741">
              <w:rPr>
                <w:rFonts w:ascii="Times New Roman" w:hAnsi="Times New Roman" w:cs="Times New Roman"/>
                <w:sz w:val="24"/>
                <w:szCs w:val="24"/>
                <w:lang w:val="en-MY"/>
              </w:rPr>
              <w:t>me</w:t>
            </w:r>
            <w:r w:rsidRPr="00B84741">
              <w:rPr>
                <w:rFonts w:ascii="Times New Roman" w:hAnsi="Times New Roman" w:cs="Times New Roman"/>
                <w:sz w:val="24"/>
                <w:szCs w:val="24"/>
                <w:lang w:val="id-ID"/>
              </w:rPr>
              <w:t xml:space="preserve"> </w:t>
            </w:r>
            <w:r w:rsidRPr="00B84741">
              <w:rPr>
                <w:rFonts w:ascii="Times New Roman" w:hAnsi="Times New Roman" w:cs="Times New Roman"/>
                <w:sz w:val="24"/>
                <w:szCs w:val="24"/>
                <w:lang w:val="en-MY"/>
              </w:rPr>
              <w:t xml:space="preserve">Entrepreneurs </w:t>
            </w:r>
            <w:r w:rsidRPr="00B84741">
              <w:rPr>
                <w:rFonts w:ascii="Times New Roman" w:hAnsi="Times New Roman" w:cs="Times New Roman"/>
                <w:sz w:val="24"/>
                <w:szCs w:val="24"/>
                <w:lang w:val="id-ID"/>
              </w:rPr>
              <w:t>in Negeri Sembilan, Malaysia</w:t>
            </w:r>
          </w:p>
        </w:tc>
      </w:tr>
    </w:tbl>
    <w:p w:rsidR="00F75750" w:rsidRDefault="00F75750" w:rsidP="002F12F5">
      <w:pPr>
        <w:spacing w:line="240" w:lineRule="auto"/>
        <w:ind w:left="0" w:firstLine="0"/>
        <w:rPr>
          <w:rFonts w:ascii="Times New Roman" w:hAnsi="Times New Roman" w:cs="Times New Roman"/>
        </w:rPr>
      </w:pPr>
    </w:p>
    <w:p w:rsidR="00B84741" w:rsidRDefault="00B84741">
      <w:pPr>
        <w:rPr>
          <w:rFonts w:ascii="Times New Roman" w:hAnsi="Times New Roman" w:cs="Times New Roman"/>
        </w:rPr>
      </w:pPr>
      <w:r>
        <w:rPr>
          <w:rFonts w:ascii="Times New Roman" w:hAnsi="Times New Roman" w:cs="Times New Roman"/>
        </w:rPr>
        <w:br w:type="page"/>
      </w:r>
    </w:p>
    <w:p w:rsidR="00453793" w:rsidRPr="00033015" w:rsidRDefault="00DC1057" w:rsidP="00DD2DB6">
      <w:pPr>
        <w:pStyle w:val="ListParagraph"/>
        <w:numPr>
          <w:ilvl w:val="0"/>
          <w:numId w:val="1"/>
        </w:numPr>
        <w:ind w:left="284" w:hanging="284"/>
        <w:rPr>
          <w:rFonts w:ascii="Times New Roman" w:hAnsi="Times New Roman" w:cs="Times New Roman"/>
          <w:b/>
        </w:rPr>
      </w:pPr>
      <w:r w:rsidRPr="00033015">
        <w:rPr>
          <w:rFonts w:ascii="Times New Roman" w:hAnsi="Times New Roman" w:cs="Times New Roman"/>
          <w:b/>
        </w:rPr>
        <w:lastRenderedPageBreak/>
        <w:t>PENDAHULUAN</w:t>
      </w:r>
    </w:p>
    <w:p w:rsidR="0059448C" w:rsidRDefault="00DE5247" w:rsidP="00B84741">
      <w:pPr>
        <w:pStyle w:val="Default"/>
        <w:spacing w:line="276" w:lineRule="auto"/>
        <w:ind w:firstLine="720"/>
        <w:jc w:val="both"/>
        <w:rPr>
          <w:lang w:val="id-ID"/>
        </w:rPr>
      </w:pPr>
      <w:r w:rsidRPr="000F0022">
        <w:rPr>
          <w:lang w:val="tr-TR"/>
        </w:rPr>
        <w:t xml:space="preserve">Menurut Pelan Induk Perusahaan Kecil dan Sederhana (PKS) 2012-2020, 42% perusahaan yang wujud pada tahun 2000 ditutup pada tahun 2005 yang bermaksud terdapat kadar survival hanya 58% dan hanya mampu bertahan selama lima tahun pertama penubuhan </w:t>
      </w:r>
      <w:r w:rsidR="005A4273" w:rsidRPr="000F0022">
        <w:rPr>
          <w:lang w:val="tr-TR"/>
        </w:rPr>
        <w:fldChar w:fldCharType="begin" w:fldLock="1"/>
      </w:r>
      <w:r w:rsidRPr="000F0022">
        <w:rPr>
          <w:lang w:val="tr-TR"/>
        </w:rPr>
        <w:instrText>ADDIN CSL_CITATION {"citationItems":[{"id":"ITEM-1","itemData":{"author":[{"dropping-particle":"","family":"SME Corporation Malaysia","given":"","non-dropping-particle":"","parse-names":false,"suffix":""}],"id":"ITEM-1","issued":{"date-parts":[["2012"]]},"page":"187","publisher":"SME Corporation Malaysia","publisher-place":"Kuala Lumpur, Malaysia","title":"Ringkasan Pelan Induk PKS 2012-2020","type":"article"},"uris":["http://www.mendeley.com/documents/?uuid=68e73abe-9a11-44dd-8788-3abd9cc71f07"]}],"mendeley":{"formattedCitation":"(SME Corporation Malaysia, 2012)","plainTextFormattedCitation":"(SME Corporation Malaysia, 2012)","previouslyFormattedCitation":"(SME Corporation Malaysia, 2012)"},"properties":{"noteIndex":0},"schema":"https://github.com/citation-style-language/schema/raw/master/csl-citation.json"}</w:instrText>
      </w:r>
      <w:r w:rsidR="005A4273" w:rsidRPr="000F0022">
        <w:rPr>
          <w:lang w:val="tr-TR"/>
        </w:rPr>
        <w:fldChar w:fldCharType="separate"/>
      </w:r>
      <w:r w:rsidRPr="000F0022">
        <w:rPr>
          <w:noProof/>
          <w:lang w:val="tr-TR"/>
        </w:rPr>
        <w:t>(SME Corporation Malaysia, 2012)</w:t>
      </w:r>
      <w:r w:rsidR="005A4273" w:rsidRPr="000F0022">
        <w:rPr>
          <w:lang w:val="tr-TR"/>
        </w:rPr>
        <w:fldChar w:fldCharType="end"/>
      </w:r>
      <w:r w:rsidRPr="000F0022">
        <w:rPr>
          <w:lang w:val="tr-TR"/>
        </w:rPr>
        <w:t xml:space="preserve">.  Kemampanan usahawan PKS dalam berdepan cabaran perniagaan menjadi satu isu dan cabaran terutama kepada pelabur dana seperti agensi kerajaan dan swasta.  Oleh itu, pemerkasaan usahawan PKS menjadi penentu kepada kemampanan jangka panjang perniagaan.  Kemampanan pemerkasaan juga menjadi penentu kepada pembasmian kemiskinan jangka panjang.  </w:t>
      </w:r>
    </w:p>
    <w:p w:rsidR="0059448C" w:rsidRDefault="00DE5247" w:rsidP="00B84741">
      <w:pPr>
        <w:pStyle w:val="Default"/>
        <w:spacing w:line="276" w:lineRule="auto"/>
        <w:ind w:firstLine="720"/>
        <w:jc w:val="both"/>
        <w:rPr>
          <w:lang w:val="id-ID"/>
        </w:rPr>
      </w:pPr>
      <w:r w:rsidRPr="000F0022">
        <w:rPr>
          <w:lang w:val="tr-TR"/>
        </w:rPr>
        <w:t xml:space="preserve">Terdapat pelbagai inisiatif Projek Usahawan Bimbingan di Malaysia yang dijalankan oleh agensi seperti RISDA, MARA, MARDI, dan JKM.  Kajian ini memfokus kepada Program </w:t>
      </w:r>
      <w:r w:rsidRPr="000F0022">
        <w:rPr>
          <w:i/>
          <w:lang w:val="tr-TR"/>
        </w:rPr>
        <w:t>2 Years Exit Programme</w:t>
      </w:r>
      <w:r w:rsidRPr="000F0022">
        <w:rPr>
          <w:lang w:val="tr-TR"/>
        </w:rPr>
        <w:t xml:space="preserve"> (2YEP), iaitu salah satu program kebajikan produktif di bawah Skim Bantuan Kebajikan Geran Pelancaran </w:t>
      </w:r>
      <w:r w:rsidR="005A4273" w:rsidRPr="000F0022">
        <w:rPr>
          <w:lang w:val="tr-TR"/>
        </w:rPr>
        <w:fldChar w:fldCharType="begin" w:fldLock="1"/>
      </w:r>
      <w:r w:rsidRPr="000F0022">
        <w:rPr>
          <w:lang w:val="tr-TR"/>
        </w:rPr>
        <w:instrText>ADDIN CSL_CITATION {"citationItems":[{"id":"ITEM-1","itemData":{"URL":"http://www.jkm.gov.my/jkm/index.php?r=portal/left&amp;id=NWxtc1E1eCs4VDI2SFA4bkg3M0FaQT09","accessed":{"date-parts":[["2019","10","9"]]},"author":[{"dropping-particle":"","family":"Jabatan Kebajikan Masyarakat","given":"","non-dropping-particle":"","parse-names":false,"suffix":""}],"container-title":"Jabatan Kebajikan Masyarakat","id":"ITEM-1","issued":{"date-parts":[["2019"]]},"title":"Perkhidmatan Geran Pelancaran","type":"webpage"},"uris":["http://www.mendeley.com/documents/?uuid=392da3f1-34b5-47c8-8b00-963ef6a11d55"]}],"mendeley":{"formattedCitation":"(Jabatan Kebajikan Masyarakat, 2019)","plainTextFormattedCitation":"(Jabatan Kebajikan Masyarakat, 2019)","previouslyFormattedCitation":"(Jabatan Kebajikan Masyarakat, 2019)"},"properties":{"noteIndex":0},"schema":"https://github.com/citation-style-language/schema/raw/master/csl-citation.json"}</w:instrText>
      </w:r>
      <w:r w:rsidR="005A4273" w:rsidRPr="000F0022">
        <w:rPr>
          <w:lang w:val="tr-TR"/>
        </w:rPr>
        <w:fldChar w:fldCharType="separate"/>
      </w:r>
      <w:r w:rsidRPr="000F0022">
        <w:rPr>
          <w:noProof/>
          <w:lang w:val="tr-TR"/>
        </w:rPr>
        <w:t>(Jabatan Kebajikan Masyarakat, 2019)</w:t>
      </w:r>
      <w:r w:rsidR="005A4273" w:rsidRPr="000F0022">
        <w:rPr>
          <w:lang w:val="tr-TR"/>
        </w:rPr>
        <w:fldChar w:fldCharType="end"/>
      </w:r>
      <w:r w:rsidRPr="000F0022">
        <w:rPr>
          <w:lang w:val="tr-TR"/>
        </w:rPr>
        <w:t xml:space="preserve"> untuk membimbing penerima bantuan yang berpotensi dalam perniagaan, namun berpendapatan rendah di bawah Pendapatan Garis Kemiskinan.  Program ini bertujuan memperkasakan penerima bantuan yang produktif untuk berdikari, keluar dari kemiskinan, menjana sumber pendapatan yang stabil dan berterusan; dan mewujudkan rangkaian kerjasama semua sektor.  Ini sekaligus dapat mengurangkan beban kewangan yang ditanggung kerajaan.  Program ini melibatkan pemberian bantuan geran kewangan sebanyak RM2700 dan program latihan pembangunan kemahiran keusahawanan selama 2 tahun.  </w:t>
      </w:r>
    </w:p>
    <w:p w:rsidR="007640A0" w:rsidRPr="0059448C" w:rsidRDefault="00DE5247" w:rsidP="00B84741">
      <w:pPr>
        <w:pStyle w:val="Default"/>
        <w:spacing w:line="276" w:lineRule="auto"/>
        <w:ind w:firstLine="720"/>
        <w:jc w:val="both"/>
        <w:rPr>
          <w:lang w:val="tr-TR"/>
        </w:rPr>
      </w:pPr>
      <w:r w:rsidRPr="000F0022">
        <w:rPr>
          <w:lang w:val="tr-TR"/>
        </w:rPr>
        <w:t xml:space="preserve">Pelaksanaan 2YEP telah dilaksanakan secara rintis di Negeri Sembilan mulai Oktober 2014 dan di negeri Perlis mulai Januari 2015.  Analisis kajian projek rintis Program 2YEP oleh </w:t>
      </w:r>
      <w:r w:rsidR="005A4273" w:rsidRPr="000F0022">
        <w:rPr>
          <w:lang w:val="tr-TR"/>
        </w:rPr>
        <w:fldChar w:fldCharType="begin" w:fldLock="1"/>
      </w:r>
      <w:r w:rsidR="00D05F39">
        <w:rPr>
          <w:lang w:val="tr-TR"/>
        </w:rPr>
        <w:instrText>ADDIN CSL_CITATION {"citationItems":[{"id":"ITEM-1","itemData":{"author":[{"dropping-particle":"","family":"Sharifah Norazizan","given":"Syed Abd Rashid","non-dropping-particle":"","parse-names":false,"suffix":""},{"dropping-particle":"","family":"Tengku Aizan","given":"Hamid","non-dropping-particle":"","parse-names":false,"suffix":""},{"dropping-particle":"","family":"Laily","given":"Hj. Paim","non-dropping-particle":"","parse-names":false,"suffix":""},{"dropping-particle":"","family":"Sharifah Azizah","given":"Haron","non-dropping-particle":"","parse-names":false,"suffix":""},{"dropping-particle":"","family":"Amna","given":"Md Noor","non-dropping-particle":"","parse-names":false,"suffix":""},{"dropping-particle":"","family":"Faizah","given":"Mas’ud","non-dropping-particle":"","parse-names":false,"suffix":""},{"dropping-particle":"","family":"Koh Tien Wei","given":"","non-dropping-particle":"","parse-names":false,"suffix":""},{"dropping-particle":"","family":"Judhiana","given":"Abdul Ghani","non-dropping-particle":"","parse-names":false,"suffix":""},{"dropping-particle":"","family":"Ng Ken Yap","given":"","non-dropping-particle":"","parse-names":false,"suffix":""},{"dropping-particle":"","family":"Chai Sen Tyng","given":"","non-dropping-particle":"","parse-names":false,"suffix":""},{"dropping-particle":"","family":"Mohd Rizal","given":"Hussain","non-dropping-particle":"","parse-names":false,"suffix":""},{"dropping-particle":"","family":"Mohamad Fazdillah","given":"Bagat","non-dropping-particle":"","parse-names":false,"suffix":""}],"id":"ITEM-1","issued":{"date-parts":[["2017"]]},"note":"5.4.1 Kajian Kes 1: 2YEP Negeri Sembilan Objektif 2YEP Negeri Sembilan adalah seperti yang berikut: (Rujukan: Taklimat Projek Rintis 2YEP Negeri Sembilan, Januari 2017). i. Pembangunan klien produktif dalam tempoh 2 tahun. ii. Pemerkasaan klien dalam meningkatkan kefungsian mereka ke arah berdikari. iii. Platform penjanaan pendapatan bagi klien produktif, iv. Pengurangan perbelanjaan bantuan bulanan atau langkah penjimatan kerajaan v. Meningkatkan jumlah klien berdikari yang berjaya ditamatkan bantuan.\nSeramai 450 penerima Geran Pelancaran telah dipilih untuk dibangunkan\nmelalui program 2YEP di Negeri Sembilan dengan peruntukan geran pelancaran sebanyak RM1,215,000.00. Bagi 2YEP Negeri Sembilan, seramai 105 orang peserta program telah berjaya ditamatkan bantuan. Statistik menunjukkan bahawa sebilangan besar peserta terdiri daripada skim BKK dan majoritinya adalah dalam kalangan wanita. Sebahagian besar peserta menceburi bidang perniagaan, iaitu kedai/gerai makan dan minuman. Jadual 5.5 menunjukkan statistik Penerima Bantuan Peserta 2YEP Negeri Sembilan Mengikut Daerah, Skim Bantuan dan Jantina dan Jadual 5.6 menunjukkan Statistik Mengikut Jenis Perniagaan.\n\n11.3.5 2YEP \n2YEP dikatakan sebagai berjaya jika peserta ditamatkan mengikut masa yang ditetapkan (Graduate on Time, GoT). Indikator selain GoT untuk menunjukkan kejayaan program termasuklah kelangsungan program dengan impak yang positif secara berterusan bukan sahaja ke atas penerima yang boleh hidup berdikari, tetapi impak jangka panjang ke atas sosioekonomi negara (hal.908). Untuk memantapkan 2YEP, dicadangkan yang berikut: \n\n1.","number-of-pages":"1088","publisher-place":"Serdang, Selangor","title":"Laporan Akhir Kajian Keberkesanan Bantuan Kewangan Jabatan Kebajikan Masyarakat, Kementerian Pembangunan Wanita, Keluarga Dan Masyarakat","type":"report"},"uris":["http://www.mendeley.com/documents/?uuid=082a132f-2963-4f70-b59c-229cc4c1d400"]}],"mendeley":{"formattedCitation":"(Sharifah Norazizan &lt;i&gt;et al.&lt;/i&gt;, 2017)","manualFormatting":"Sharifah Norazizan et al. (2017)","plainTextFormattedCitation":"(Sharifah Norazizan et al., 2017)","previouslyFormattedCitation":"(Sharifah Norazizan &lt;i&gt;et al.&lt;/i&gt;, 2017)"},"properties":{"noteIndex":0},"schema":"https://github.com/citation-style-language/schema/raw/master/csl-citation.json"}</w:instrText>
      </w:r>
      <w:r w:rsidR="005A4273" w:rsidRPr="000F0022">
        <w:rPr>
          <w:lang w:val="tr-TR"/>
        </w:rPr>
        <w:fldChar w:fldCharType="separate"/>
      </w:r>
      <w:r w:rsidRPr="000F0022">
        <w:rPr>
          <w:noProof/>
          <w:lang w:val="tr-TR"/>
        </w:rPr>
        <w:t>Sharifah Norazizan et al. (2017)</w:t>
      </w:r>
      <w:r w:rsidR="005A4273" w:rsidRPr="000F0022">
        <w:rPr>
          <w:lang w:val="tr-TR"/>
        </w:rPr>
        <w:fldChar w:fldCharType="end"/>
      </w:r>
      <w:r w:rsidRPr="000F0022">
        <w:rPr>
          <w:lang w:val="tr-TR"/>
        </w:rPr>
        <w:t xml:space="preserve"> </w:t>
      </w:r>
      <w:r w:rsidRPr="000F0022">
        <w:t>mencadangkan antaranya supaya JKM memberikan sokongan yang berterusan dalam pengurusan dan pelaksanaan 2YEP</w:t>
      </w:r>
      <w:r w:rsidRPr="000F0022">
        <w:rPr>
          <w:lang w:val="tr-TR"/>
        </w:rPr>
        <w:t xml:space="preserve">.  Tahun berikutnya,  </w:t>
      </w:r>
      <w:r w:rsidR="005A4273" w:rsidRPr="000F0022">
        <w:rPr>
          <w:lang w:val="tr-TR"/>
        </w:rPr>
        <w:fldChar w:fldCharType="begin" w:fldLock="1"/>
      </w:r>
      <w:r w:rsidR="00D05F39">
        <w:rPr>
          <w:lang w:val="tr-TR"/>
        </w:rPr>
        <w:instrText>ADDIN CSL_CITATION {"citationItems":[{"id":"ITEM-1","itemData":{"abstract":"Peningkatan statistik tahunan Jabatan Kebajikan Masyarakat (JKM) bagi kes penerima bantuan bulanan iaitu sebanyak lapan peratus (8%) hingga dua belas peratus (12%) secara tidak langsung memberi kesan kepada perbelanjaan kewangan kerajaan. Program exit bagi penerima bantuan JKM yang aktif atau 2 Years Exit Policy (2YEP) merupakan satu program berkonsepkan pembangunan dan pemerkasaan penerima bantuan JKM yang produktif untuk membantu meningkatkan kefungsian hidup mereka ke arah berdikari serta tidak bergantung kepada bantuan kewangan JKM semata-mata. Objektif kajian ini adalah untuk menilai program 2YEP bagi fasa 1 iaitu bagi tahun 2016 hingga 2018. Kaedah kuantitatif dipilih sebagai teknik pengumpulan data dan soal selidik telah diedarkan kepada 602 orang responden peserta 2YEP diseluruh Malaysia. Hasil kajian mendapati 2YEP seramai 575 peserta 2YEP telah berjaya ditamatkan dari menerima bantuan JKM manakala sebanyak 40.5% peserta telah menjana pendapatan melebihi Paras Garis Kemiskinan (PGK) semasa. Selain itu, hasil kajian juga menunjukkan seramai 910 orang peserta 2YEP mampu untuk menggaji seramai 1,382 pekerja dan secara keseluruhannya program 2YEP fasa 1 ini telah berjaya menjimatkan perbelanjaan kerajaan sebanyak RM1,897,500.00 juta setahun.","author":[{"dropping-particle":"","family":"Noraida","given":"Ibrahim","non-dropping-particle":"","parse-names":false,"suffix":""},{"dropping-particle":"","family":"Salamatussaadah","given":"Abd. Ghaffur","non-dropping-particle":"","parse-names":false,"suffix":""},{"dropping-particle":"","family":"Wan Zabariah","given":"Wan Harun","non-dropping-particle":"","parse-names":false,"suffix":""},{"dropping-particle":"","family":"Haniza","given":"Tamin","non-dropping-particle":"","parse-names":false,"suffix":""},{"dropping-particle":"","family":"Mohamad Kamil","given":"Mohamed Umar","non-dropping-particle":"","parse-names":false,"suffix":""}],"container-title":"Jurnal Kebajikan Masyarakat (Social Welfare Journal)","id":"ITEM-1","issue":"Nov","issued":{"date-parts":[["2018"]]},"note":"Tahap kehidupan dan kefungsian sosial penerima bantuan JKM dapat ditingkatkan serta dapat menyumbang kepada peningkatan ekonomi negara. Namun begitu, terdapat isu dan cabaran yang telah dikenal pasti melalui kajian ini seperti isu promosi dan pemasaran produk, pengekalan peserta 2YEP dalam setiap projek yang telah dilaksanakan selain sukar untuk menerima risiko dan terlalu bergantung kepada penyeliaan pegawai JKM selepas tempoh 2 tahun berakhir.\n\nKajian ini mencadangkan agar satu mekanisma bagi membantu peserta memperluaskan pasaran produk mereka iaitu melalui promosi di media masa, keterlibatan aktif peserta dalam expo jualan produk, karnival diharapkan dapat memastikan peluang untuk klien terus kekal menjana pendapatan. Selain itu, way forward 2YEP seperti program mentor mentee juga dicadangkan bagi mewujudkan kumpulan sokongan yang menjadi inspirasi kepada peserta yang berpotensi. Kejayaan peserta yang telah berjaya melalui 2YEP perlu dipromosikan bagi menyebar luas kejayaan mereka dan dapat memberi inspirasi kepada penerima bantuan yang lain untuk menyertai 2YEP.","page":"109-118","title":"Kajian Penilaian Outcome: Program Exit Bagi Penerima Bantuan Jabatan Kebajikan Masyarakat Yang Produktif","type":"article-journal","volume":"45"},"uris":["http://www.mendeley.com/documents/?uuid=35bccd0b-15aa-4002-af47-24b8a7037abd"]}],"mendeley":{"formattedCitation":"(Noraida &lt;i&gt;et al.&lt;/i&gt;, 2018)","manualFormatting":"Noraida, Salamatussaadah, Wan Zabariah, Haniza, &amp; Mohamad Kamil (2018)","plainTextFormattedCitation":"(Noraida et al., 2018)","previouslyFormattedCitation":"(Noraida &lt;i&gt;et al.&lt;/i&gt;, 2018)"},"properties":{"noteIndex":0},"schema":"https://github.com/citation-style-language/schema/raw/master/csl-citation.json"}</w:instrText>
      </w:r>
      <w:r w:rsidR="005A4273" w:rsidRPr="000F0022">
        <w:rPr>
          <w:lang w:val="tr-TR"/>
        </w:rPr>
        <w:fldChar w:fldCharType="separate"/>
      </w:r>
      <w:r w:rsidRPr="000F0022">
        <w:rPr>
          <w:noProof/>
          <w:lang w:val="tr-TR"/>
        </w:rPr>
        <w:t>Noraida, Salamatussaadah, Wan Zabariah, Haniza, &amp; Mohamad Kamil (2018)</w:t>
      </w:r>
      <w:r w:rsidR="005A4273" w:rsidRPr="000F0022">
        <w:rPr>
          <w:lang w:val="tr-TR"/>
        </w:rPr>
        <w:fldChar w:fldCharType="end"/>
      </w:r>
      <w:r w:rsidRPr="000F0022">
        <w:rPr>
          <w:lang w:val="tr-TR"/>
        </w:rPr>
        <w:t xml:space="preserve"> melaporkan hasil Kajian Penilaian Outcome Program bagi tahun 2016-2018 bahawa secara keseluruhannya, Program 2YEP Fasa 1 (2016-2018) telah berjaya menjimatkan perbelanjaan kerajaan sebanyak RM1.9juta setahun dengan seramai 575 orang ditamatkan bantuan.  Sehingga kini, program 2YEP diteruskan dan diperluaskan di seluruh negara dengan peningkatan pencapaian iaitu 674 orang peserta berjaya ditamatkan bantuan </w:t>
      </w:r>
      <w:r w:rsidR="005A4273" w:rsidRPr="000F0022">
        <w:rPr>
          <w:lang w:val="tr-TR"/>
        </w:rPr>
        <w:fldChar w:fldCharType="begin" w:fldLock="1"/>
      </w:r>
      <w:r w:rsidRPr="000F0022">
        <w:rPr>
          <w:lang w:val="tr-TR"/>
        </w:rPr>
        <w:instrText>ADDIN CSL_CITATION {"citationItems":[{"id":"ITEM-1","itemData":{"ISBN":"9789671710500","author":[{"dropping-particle":"","family":"Khairul Amri","given":"Ahmad","non-dropping-particle":"","parse-names":false,"suffix":""}],"container-title":"MASW-JKM-ISM International Social Work Symposium 27 &amp; 28th April 2019","id":"ITEM-1","issued":{"date-parts":[["2019"]]},"note":"Kertas kerja ini menfokuskan kepada tiga objektif utama iaitu: pertamanya untuk mengenalpasti trend pencapaian klien dalam projek 2YEP.\n\nHasil analisis mendapati klien yang berjaya meningkatkan pendapatan dan ditamatkan bantuan bagi projek rintis 2YEP adalah seramai 48 orang (9.5 %) manakala 674 orang (33.7 %) bagi projek peluasan 2YEP. \n\nAnalisis ini menunjukkan pencapaian peluasan 2YEP di seluruh negara adalah lebih baik berbanding dengan projek rintis yang dilaksanakan di Negeri Sembilan dan Perlis. Dapat dirumuskan bahawa pemantapan latihan CMS Kerja Sosial kepada Pekerja Sosial dapat meningkatkan keberkesanan praktis Kerja Sosial dalam 2YEP. Pelaksanaan CMS Kerja Sosial dalam 2YEP juga dapat membantu meningkatkan pencapaian klien dan objektif 2YEP.","page":"229-236","title":"Keberkesanan Sistem Pengurusan Kes (CMS) Kerja Sosial dalam 2 Years Exit Programme (2 YEP) Jabatan Kebajikan Masyarakat","type":"paper-conference"},"uris":["http://www.mendeley.com/documents/?uuid=aad6a93d-3a3f-4ca0-9747-7d9a4f70eeb9"]}],"mendeley":{"formattedCitation":"(Khairul Amri, 2019)","plainTextFormattedCitation":"(Khairul Amri, 2019)","previouslyFormattedCitation":"(Khairul Amri, 2019)"},"properties":{"noteIndex":0},"schema":"https://github.com/citation-style-language/schema/raw/master/csl-citation.json"}</w:instrText>
      </w:r>
      <w:r w:rsidR="005A4273" w:rsidRPr="000F0022">
        <w:rPr>
          <w:lang w:val="tr-TR"/>
        </w:rPr>
        <w:fldChar w:fldCharType="separate"/>
      </w:r>
      <w:r w:rsidRPr="000F0022">
        <w:rPr>
          <w:noProof/>
          <w:lang w:val="tr-TR"/>
        </w:rPr>
        <w:t>(Khairul Amri, 2019)</w:t>
      </w:r>
      <w:r w:rsidR="005A4273" w:rsidRPr="000F0022">
        <w:rPr>
          <w:lang w:val="tr-TR"/>
        </w:rPr>
        <w:fldChar w:fldCharType="end"/>
      </w:r>
      <w:r w:rsidRPr="000F0022">
        <w:rPr>
          <w:lang w:val="tr-TR"/>
        </w:rPr>
        <w:t xml:space="preserve">.  Ini membuktikan proses pemerkasaan melalui program pembangunan modal insan seperti 2YEP telah berjaya.  Namun begitu, ini tidak membuktikan jangka hayat pemerkasaan yang berkesan.  Justeru, persoalan yang memandu kajian ini adalah </w:t>
      </w:r>
      <w:r w:rsidRPr="000F0022">
        <w:rPr>
          <w:bCs/>
        </w:rPr>
        <w:t>bagaimana usahawan bimbingan Program 2YEP dapat mencapai keusahawanan jangka panjang yang mampan?</w:t>
      </w:r>
    </w:p>
    <w:p w:rsidR="00DE5247" w:rsidRDefault="00DE5247" w:rsidP="00B84741">
      <w:pPr>
        <w:spacing w:line="516" w:lineRule="auto"/>
        <w:ind w:left="0" w:firstLine="0"/>
        <w:rPr>
          <w:rFonts w:ascii="Times New Roman" w:hAnsi="Times New Roman" w:cs="Times New Roman"/>
        </w:rPr>
      </w:pPr>
    </w:p>
    <w:p w:rsidR="00B84741" w:rsidRPr="00DE5247" w:rsidRDefault="00B84741" w:rsidP="00B84741">
      <w:pPr>
        <w:spacing w:line="516" w:lineRule="auto"/>
        <w:ind w:left="0" w:firstLine="0"/>
        <w:rPr>
          <w:rFonts w:ascii="Times New Roman" w:hAnsi="Times New Roman" w:cs="Times New Roman"/>
        </w:rPr>
      </w:pPr>
    </w:p>
    <w:p w:rsidR="00453793" w:rsidRPr="00F875E5" w:rsidRDefault="00F875E5" w:rsidP="00F875E5">
      <w:pPr>
        <w:pStyle w:val="ListParagraph"/>
        <w:numPr>
          <w:ilvl w:val="0"/>
          <w:numId w:val="1"/>
        </w:numPr>
        <w:spacing w:line="240" w:lineRule="auto"/>
        <w:ind w:left="284" w:hanging="284"/>
        <w:rPr>
          <w:rFonts w:ascii="Times New Roman" w:hAnsi="Times New Roman" w:cs="Times New Roman"/>
          <w:b/>
        </w:rPr>
      </w:pPr>
      <w:r>
        <w:rPr>
          <w:rFonts w:ascii="Times New Roman" w:hAnsi="Times New Roman" w:cs="Times New Roman"/>
          <w:b/>
        </w:rPr>
        <w:lastRenderedPageBreak/>
        <w:t>TINJAUAN PUSTAKA</w:t>
      </w:r>
    </w:p>
    <w:p w:rsidR="0059448C" w:rsidRDefault="000F0022" w:rsidP="00B84741">
      <w:pPr>
        <w:pStyle w:val="Default"/>
        <w:spacing w:line="276" w:lineRule="auto"/>
        <w:ind w:firstLine="709"/>
        <w:jc w:val="both"/>
        <w:rPr>
          <w:lang w:val="id-ID"/>
        </w:rPr>
      </w:pPr>
      <w:r w:rsidRPr="00DE5247">
        <w:rPr>
          <w:lang w:val="tr-TR"/>
        </w:rPr>
        <w:t xml:space="preserve">Secara amnya, kemampanan bermaksud  </w:t>
      </w:r>
      <w:r w:rsidRPr="00DE5247">
        <w:rPr>
          <w:color w:val="auto"/>
          <w:lang w:val="tr-TR"/>
        </w:rPr>
        <w:t xml:space="preserve">kehidupan yang terdiri daripada keupayaan, kepelbagaian modal dan kegiatan mata pencarian yang mampan untuk hidup; berupaya mengatasi dan memulihkan kehidupan sosial daripada tekanan dan kejutan serta mengekalkan atau meningkatkan keupayaan dan aset yang dimiliki sekarang dan di masa depan, sementara tidak merosakkan sumber semula jadi </w:t>
      </w:r>
      <w:r w:rsidR="005A4273" w:rsidRPr="00DE5247">
        <w:rPr>
          <w:color w:val="auto"/>
          <w:lang w:val="tr-TR"/>
        </w:rPr>
        <w:fldChar w:fldCharType="begin" w:fldLock="1"/>
      </w:r>
      <w:r w:rsidR="00D05F39">
        <w:rPr>
          <w:color w:val="auto"/>
          <w:lang w:val="tr-TR"/>
        </w:rPr>
        <w:instrText>ADDIN CSL_CITATION {"citationItems":[{"id":"ITEM-1","itemData":{"abstract":"issues issues \"A livelihood comprises the capabilities, assets and activities required for a means of living. A livelihood is sustainable when it can cope with and recover from stresses and shocks and maintain or enhance its capabilities and assets both now and in the future, while not undermining the natural resource base. '' Sustainable livelihoods guidance sheets","author":[{"dropping-particle":"","family":"Department for International Development","given":"","non-dropping-particle":"","parse-names":false,"suffix":""}],"id":"ITEM-1","issued":{"date-parts":[["1999"]]},"note":"DfID, U. K. (1999). Sustainable livelihoods guidance sheets. London: DFID, 445.","number-of-pages":"150","publisher":"Department for International Development (DFID)","publisher-place":"London, UK","title":"Sustainable Livelihoods Guidance Sheets","type":"report"},"uris":["http://www.mendeley.com/documents/?uuid=c939a413-a92b-4b95-8d98-5df49e11795d"]},{"id":"ITEM-2","itemData":{"DOI":"ISBN 0 903715 58 9","ISBN":"0903715589","ISSN":"03085864","PMID":"942857526","author":[{"dropping-particle":"","family":"Chambers","given":"Robert","non-dropping-particle":"","parse-names":false,"suffix":""},{"dropping-particle":"","family":"Conway","given":"Gordon R.","non-dropping-particle":"","parse-names":false,"suffix":""}],"container-title":"IDS Discussion Paper","id":"ITEM-2","issue":"December","issued":{"date-parts":[["1991"]]},"page":"33","title":"Sustainable rural livelihoods:practical concepts for the 21st century","type":"article-journal","volume":"296"},"uris":["http://www.mendeley.com/documents/?uuid=f8824cfd-b31c-4026-919d-8bc1282bf8a6"]}],"mendeley":{"formattedCitation":"(Chambers and Conway, 1991; Department for International Development, 1999)","plainTextFormattedCitation":"(Chambers and Conway, 1991; Department for International Development, 1999)","previouslyFormattedCitation":"(Chambers and Conway, 1991; Department for International Development, 1999)"},"properties":{"noteIndex":0},"schema":"https://github.com/citation-style-language/schema/raw/master/csl-citation.json"}</w:instrText>
      </w:r>
      <w:r w:rsidR="005A4273" w:rsidRPr="00DE5247">
        <w:rPr>
          <w:color w:val="auto"/>
          <w:lang w:val="tr-TR"/>
        </w:rPr>
        <w:fldChar w:fldCharType="separate"/>
      </w:r>
      <w:r w:rsidR="00D05F39" w:rsidRPr="00D05F39">
        <w:rPr>
          <w:noProof/>
          <w:color w:val="auto"/>
          <w:lang w:val="tr-TR"/>
        </w:rPr>
        <w:t>(Chambers and Conway, 1991; Department for International Development, 1999)</w:t>
      </w:r>
      <w:r w:rsidR="005A4273" w:rsidRPr="00DE5247">
        <w:rPr>
          <w:color w:val="auto"/>
          <w:lang w:val="tr-TR"/>
        </w:rPr>
        <w:fldChar w:fldCharType="end"/>
      </w:r>
      <w:r w:rsidRPr="00DE5247">
        <w:rPr>
          <w:color w:val="auto"/>
          <w:lang w:val="tr-TR"/>
        </w:rPr>
        <w:t xml:space="preserve">.  </w:t>
      </w:r>
      <w:r w:rsidRPr="00DE5247">
        <w:rPr>
          <w:lang w:val="tr-TR"/>
        </w:rPr>
        <w:t xml:space="preserve">Ini ditambah dengan keupayaan manusia mencapai keseimbangan kejayaan hidup di dunia dan di akhirat </w:t>
      </w:r>
      <w:r w:rsidR="005A4273" w:rsidRPr="00DE5247">
        <w:rPr>
          <w:lang w:val="tr-TR"/>
        </w:rPr>
        <w:fldChar w:fldCharType="begin" w:fldLock="1"/>
      </w:r>
      <w:r w:rsidR="00D05F39">
        <w:rPr>
          <w:lang w:val="tr-TR"/>
        </w:rPr>
        <w:instrText>ADDIN CSL_CITATION {"citationItems":[{"id":"ITEM-1","itemData":{"ISBN":"9788460862604","author":[{"dropping-particle":"","family":"Nik Fuad","given":"Nik Mohd Kamil","non-dropping-particle":"","parse-names":false,"suffix":""},{"dropping-particle":"","family":"Noraien","given":"Mansor","non-dropping-particle":"","parse-names":false,"suffix":""}],"edition":"Cetakan Pe","id":"ITEM-1","issued":{"date-parts":[["2007"]]},"number-of-pages":"147","publisher":"Universiti Malaysia Terengganu","publisher-place":"Kuala Terengganu, Malaysia","title":"Penghidupan Mapan","type":"book"},"uris":["http://www.mendeley.com/documents/?uuid=60848801-f802-4904-8e41-51e68cb26efb"]}],"mendeley":{"formattedCitation":"(Nik Fuad and Noraien, 2007)","plainTextFormattedCitation":"(Nik Fuad and Noraien, 2007)","previouslyFormattedCitation":"(Nik Fuad and Noraien, 2007)"},"properties":{"noteIndex":0},"schema":"https://github.com/citation-style-language/schema/raw/master/csl-citation.json"}</w:instrText>
      </w:r>
      <w:r w:rsidR="005A4273" w:rsidRPr="00DE5247">
        <w:rPr>
          <w:lang w:val="tr-TR"/>
        </w:rPr>
        <w:fldChar w:fldCharType="separate"/>
      </w:r>
      <w:r w:rsidR="00D05F39" w:rsidRPr="00D05F39">
        <w:rPr>
          <w:noProof/>
          <w:lang w:val="tr-TR"/>
        </w:rPr>
        <w:t>(Nik Fuad and Noraien, 2007)</w:t>
      </w:r>
      <w:r w:rsidR="005A4273" w:rsidRPr="00DE5247">
        <w:rPr>
          <w:lang w:val="tr-TR"/>
        </w:rPr>
        <w:fldChar w:fldCharType="end"/>
      </w:r>
      <w:r w:rsidRPr="00DE5247">
        <w:rPr>
          <w:lang w:val="tr-TR"/>
        </w:rPr>
        <w:t xml:space="preserve">.  </w:t>
      </w:r>
    </w:p>
    <w:p w:rsidR="0059448C" w:rsidRDefault="00DE5247" w:rsidP="00B84741">
      <w:pPr>
        <w:pStyle w:val="Default"/>
        <w:spacing w:line="276" w:lineRule="auto"/>
        <w:ind w:firstLine="709"/>
        <w:jc w:val="both"/>
        <w:rPr>
          <w:lang w:val="id-ID"/>
        </w:rPr>
      </w:pPr>
      <w:r w:rsidRPr="000F0022">
        <w:rPr>
          <w:lang w:val="tr-TR"/>
        </w:rPr>
        <w:t xml:space="preserve">Usahawan dalam kajian ini merujuk kepada Schumpeter (1934) dalam </w:t>
      </w:r>
      <w:r w:rsidR="005A4273" w:rsidRPr="000F0022">
        <w:rPr>
          <w:lang w:val="tr-TR"/>
        </w:rPr>
        <w:fldChar w:fldCharType="begin" w:fldLock="1"/>
      </w:r>
      <w:r w:rsidR="00D05F39">
        <w:rPr>
          <w:lang w:val="tr-TR"/>
        </w:rPr>
        <w:instrText>ADDIN CSL_CITATION {"citationItems":[{"id":"ITEM-1","itemData":{"DOI":"10.1007/BF01108286","ISSN":"0921898X","abstract":"The past decade has seen a revival of entrepreneurship in the modern industrial economies, characterized by a wave of enterprise restructuring and of new developments in business and technology. In this paper, we argue that market transitions of the post-socialist economies of Eastern Europe cannot be successful without similar entrepreneurial restructuring. To address the massive structural distortions that still plague the post-reform economies, the governments of the region must promote entrepreneurship through policies that: (1) make use of all possible sources of entrepreneurship, including in particular the former state and social sectors; and (2) establish a macroeconomic environment and property-rights framework conducive to entrepreneurship. A successful promotion strategy will need to operate on several fronts, by: (1) redirecting entrepreneurial activities into legal, productive activities, (2) increasing the supply and effectiveness of entrepreneurs, (3) developing markets for complementary inputs, and (4) increasing the demand for entrepreneurship. An unsuccessful approach, we argue, will be one that regards the pre-reform small private sector as the only source of entrepreneurship, and as the only arena for its productive use. © 1994 Kluwer Academic Publishers.","author":[{"dropping-particle":"","family":"Tyson","given":"Laura d.Andrea","non-dropping-particle":"","parse-names":false,"suffix":""},{"dropping-particle":"","family":"Petrin","given":"Tea","non-dropping-particle":"","parse-names":false,"suffix":""},{"dropping-particle":"","family":"Rogers","given":"Halsey","non-dropping-particle":"","parse-names":false,"suffix":""}],"container-title":"Small Business Economics","id":"ITEM-1","issue":"3","issued":{"date-parts":[["1994"]]},"page":"165-184","title":"Promoting Entrepreneurship in Eastern Europe","type":"article-journal","volume":"6"},"uris":["http://www.mendeley.com/documents/?uuid=b0a1cd66-96c2-47b9-be0c-0559b0f8d093"]}],"mendeley":{"formattedCitation":"(Tyson, Petrin and Rogers, 1994)","manualFormatting":"Tyson, Petrin, &amp; Rogers (1994)","plainTextFormattedCitation":"(Tyson, Petrin and Rogers, 1994)","previouslyFormattedCitation":"(Tyson, Petrin and Rogers, 1994)"},"properties":{"noteIndex":0},"schema":"https://github.com/citation-style-language/schema/raw/master/csl-citation.json"}</w:instrText>
      </w:r>
      <w:r w:rsidR="005A4273" w:rsidRPr="000F0022">
        <w:rPr>
          <w:lang w:val="tr-TR"/>
        </w:rPr>
        <w:fldChar w:fldCharType="separate"/>
      </w:r>
      <w:r w:rsidRPr="000F0022">
        <w:rPr>
          <w:noProof/>
          <w:lang w:val="tr-TR"/>
        </w:rPr>
        <w:t>Tyson, Petrin, &amp; Rogers (1994)</w:t>
      </w:r>
      <w:r w:rsidR="005A4273" w:rsidRPr="000F0022">
        <w:rPr>
          <w:lang w:val="tr-TR"/>
        </w:rPr>
        <w:fldChar w:fldCharType="end"/>
      </w:r>
      <w:r w:rsidRPr="000F0022">
        <w:rPr>
          <w:lang w:val="tr-TR"/>
        </w:rPr>
        <w:t xml:space="preserve"> iaitu sebagai seseorang yang sama ada mencipa kombinasi baharu seperti kaedah baru pembuatan, produk baharu, pasaran baharu, mendapat sumber baharu penawaran dan bentuk organisasi yang baharu; atau sebagai seseorang yang sanggup mengambil risiko; atau seseorang yang meneroka peluang pasaran dan menghapuskan ketidakseimbangan di antara penawaran dan permintaan agregat; atau seseorang yang memiliki dan menjalankan perniagaan. </w:t>
      </w:r>
    </w:p>
    <w:p w:rsidR="0059448C" w:rsidRDefault="00DE5247" w:rsidP="00B84741">
      <w:pPr>
        <w:pStyle w:val="Default"/>
        <w:spacing w:line="276" w:lineRule="auto"/>
        <w:ind w:firstLine="709"/>
        <w:jc w:val="both"/>
        <w:rPr>
          <w:lang w:val="id-ID"/>
        </w:rPr>
      </w:pPr>
      <w:r w:rsidRPr="00DE5247">
        <w:rPr>
          <w:lang w:val="tr-TR"/>
        </w:rPr>
        <w:t xml:space="preserve">Manakala kemampanan dalam sektor perniagaan menurut </w:t>
      </w:r>
      <w:r w:rsidR="005A4273" w:rsidRPr="00DE5247">
        <w:rPr>
          <w:lang w:val="tr-TR"/>
        </w:rPr>
        <w:fldChar w:fldCharType="begin" w:fldLock="1"/>
      </w:r>
      <w:r w:rsidRPr="00DE5247">
        <w:rPr>
          <w:lang w:val="tr-TR"/>
        </w:rPr>
        <w:instrText>ADDIN CSL_CITATION {"citationItems":[{"id":"ITEM-1","itemData":{"DOI":"10.3362/1755-1986.2016.018","ISSN":"17551986","abstract":"This paper examines the growth determinants of manufacturing micro- and small enterprises operating in Tigray Province, Ethiopia. The study draws on the ordinary least squares (OLS) regression model and firm growth equation. Data was collected from a sample of 339 firm owners using a structured questionnaire. The study finds a positive and significant relationship between firm growth and policy related factors such as, access to credit, working spaces, and marketing premises as well as human capital factors including entrepreneur's education, business skills, and training. The finding supports the research hypotheses, which posit that these factors have a direct linkage with firm growth. Conversely, findings reveal that firm growth and firm age are initially inversely related but that this negative relationship stays only for some time since as age increases, firms start to grow and the relationship becomes positive towards the end. Next, the t-test shows that the mean annual growth rate of men-owned firms (7.58 per cent) is higher than that of women-owned firms (3.75 per cent), indicating evidence of a gender gap in the growth capability of male and female entrepreneurs. Descriptive statistics also reveal that overall women business operators have lower education, skills, and training relative to men operators. This equality gap calls for useful initiatives that resolve gender inequalities and thereby enhance expanded opportunities for women's empowerment in the region. [ABSTRACT FROM AUTHOR]","author":[{"dropping-particle":"","family":"Asfaw","given":"Yitbarek Abrha","non-dropping-particle":"","parse-names":false,"suffix":""}],"container-title":"Enterprise Development and Microfinance","id":"ITEM-1","issue":"4","issued":{"date-parts":[["2016"]]},"page":"273-297","title":"Growth determinants of manufacturing micro-and small enterprises in Ethiopia: An empirical study of Tigray Province","type":"article-journal","volume":"27"},"uris":["http://www.mendeley.com/documents/?uuid=935bad53-229a-44b8-a37e-517e073d2f5d"]}],"mendeley":{"formattedCitation":"(Asfaw, 2016)","manualFormatting":"Asfaw (2016)","plainTextFormattedCitation":"(Asfaw, 2016)","previouslyFormattedCitation":"(Asfaw, 2016)"},"properties":{"noteIndex":0},"schema":"https://github.com/citation-style-language/schema/raw/master/csl-citation.json"}</w:instrText>
      </w:r>
      <w:r w:rsidR="005A4273" w:rsidRPr="00DE5247">
        <w:rPr>
          <w:lang w:val="tr-TR"/>
        </w:rPr>
        <w:fldChar w:fldCharType="separate"/>
      </w:r>
      <w:r w:rsidRPr="00DE5247">
        <w:rPr>
          <w:noProof/>
          <w:lang w:val="tr-TR"/>
        </w:rPr>
        <w:t>Asfaw (2016)</w:t>
      </w:r>
      <w:r w:rsidR="005A4273" w:rsidRPr="00DE5247">
        <w:rPr>
          <w:lang w:val="tr-TR"/>
        </w:rPr>
        <w:fldChar w:fldCharType="end"/>
      </w:r>
      <w:r w:rsidRPr="00DE5247">
        <w:rPr>
          <w:lang w:val="tr-TR"/>
        </w:rPr>
        <w:t xml:space="preserve"> adalah peningkatan usia perniagaan yang seiring kemajuan perniagaan, dan ini yang dikatakan kemampanan jangka panjang sesuatu perusahaan. Dalam konteks usahawan bimbingan, kemampanan jangka panjang perniagaan ini berkait terlebih dahulu dengan pemerkasaan sosioekonomi.  Usahawan bimbingan menurut </w:t>
      </w:r>
      <w:r w:rsidR="005A4273" w:rsidRPr="00DE5247">
        <w:rPr>
          <w:lang w:val="tr-TR"/>
        </w:rPr>
        <w:fldChar w:fldCharType="begin" w:fldLock="1"/>
      </w:r>
      <w:r w:rsidRPr="00DE5247">
        <w:rPr>
          <w:lang w:val="tr-TR"/>
        </w:rPr>
        <w:instrText>ADDIN CSL_CITATION {"citationItems":[{"id":"ITEM-1","itemData":{"DOI":"10.1016/0007-6813(75)90040-3","ISSN":"00076813","abstract":"Focuses on the impact of the New Enterprise Development workshops on various business enterprises in the United States. Assessment on entrepreneurial talents; Fundamental aspects of enterpreneural processes; Influence of educational methods on venture initiation.","author":[{"dropping-particle":"","family":"Timmons","given":"Jeffry A.","non-dropping-particle":"","parse-names":false,"suffix":""}],"container-title":"Business Horizons","id":"ITEM-1","issue":"6","issued":{"date-parts":[["1975"]]},"page":"49-52","title":"Guided entrepreneurship","type":"article-journal","volume":"18"},"uris":["http://www.mendeley.com/documents/?uuid=20f51efe-d989-4b1d-a229-191bc875e944"]}],"mendeley":{"formattedCitation":"(Timmons, 1975)","manualFormatting":"Timmons, (1975)","plainTextFormattedCitation":"(Timmons, 1975)","previouslyFormattedCitation":"(Timmons, 1975)"},"properties":{"noteIndex":0},"schema":"https://github.com/citation-style-language/schema/raw/master/csl-citation.json"}</w:instrText>
      </w:r>
      <w:r w:rsidR="005A4273" w:rsidRPr="00DE5247">
        <w:rPr>
          <w:lang w:val="tr-TR"/>
        </w:rPr>
        <w:fldChar w:fldCharType="separate"/>
      </w:r>
      <w:r w:rsidRPr="00DE5247">
        <w:rPr>
          <w:noProof/>
          <w:lang w:val="tr-TR"/>
        </w:rPr>
        <w:t>Timmons, (1975)</w:t>
      </w:r>
      <w:r w:rsidR="005A4273" w:rsidRPr="00DE5247">
        <w:rPr>
          <w:lang w:val="tr-TR"/>
        </w:rPr>
        <w:fldChar w:fldCharType="end"/>
      </w:r>
      <w:r w:rsidRPr="00DE5247">
        <w:rPr>
          <w:lang w:val="tr-TR"/>
        </w:rPr>
        <w:t xml:space="preserve"> adalah individu dan pasukan yang menumpu kepada pembangunan kemahiran yang diperlukan untuk memulakan usaha yang berjaya.  Dalam kata lain, usaha memperkasakan kelompok individu usahawan yang memerlukan bimbingan dan sokongan.</w:t>
      </w:r>
    </w:p>
    <w:p w:rsidR="0059448C" w:rsidRDefault="00DE5247" w:rsidP="00B84741">
      <w:pPr>
        <w:pStyle w:val="Default"/>
        <w:spacing w:line="276" w:lineRule="auto"/>
        <w:ind w:firstLine="709"/>
        <w:jc w:val="both"/>
        <w:rPr>
          <w:lang w:val="id-ID"/>
        </w:rPr>
      </w:pPr>
      <w:r w:rsidRPr="00DE5247">
        <w:rPr>
          <w:lang w:val="tr-TR"/>
        </w:rPr>
        <w:t xml:space="preserve">Teori Pemerkasaan oleh </w:t>
      </w:r>
      <w:r w:rsidR="005A4273" w:rsidRPr="00DE5247">
        <w:rPr>
          <w:lang w:val="tr-TR"/>
        </w:rPr>
        <w:fldChar w:fldCharType="begin" w:fldLock="1"/>
      </w:r>
      <w:r w:rsidR="00D05F39">
        <w:rPr>
          <w:lang w:val="tr-TR"/>
        </w:rPr>
        <w:instrText>ADDIN CSL_CITATION {"citationItems":[{"id":"ITEM-1","itemData":{"abstract":"Empowennent is both a value orientation for working in the community and a theoretical model for understanding the process and consequences of efforts to exert control and influence over decisions that affect one's life, organizational functioning, and the quality of community life (Perkins &amp; Zimmennan, 1995; Rappaport, 1981; Zimmennan &amp; Warschausky, 1998). A distinction between the values that underlie an empowennent approach to social change and empowennent theory is necessary. The value orientation of empowennent suggests goals, aims, and strategies for implementing change. Empowennent theory provides principles and a framework for organizing our knowledge. The development of empowennent theory also helps advance the construct beyond a passing fad and political manipulation. A theory of empowennent suggests ways to measure the construct in different contexts, to study empowering processes, and to distinguish empowennent from other constructs, such as self-esteem, self-efficacy, or locus of control. One definition of empowennent is useful, but appears to be limited to the individual level of analysis: Empowerment may be seen as a process where individuals learn to see a closer correspondence between their goals and a sense of how to achieve them, and a relationship between their efforts and life outcomes (Mechanic, 1991). Another definition explicitly incorporates person-environment interaction: Empowerment is an intentional, ongoing process centered in the local community, involving mutual respect, critical reflection, caring, and group participation, through which people lacking an equal share of valued resources gain greater access to and control over those resources (Cornell Empower-ment Group, 1989). A definition by Rappaport (1984) accounts for the fact that empowennent may occur at multiple levels of analysis: \"Empowennent is viewed as a process: the mechanism by which people, organizations, and communities gain mastery over their lives,\" but does not provide details about the process across levels of analysis. These definitions suggest that empower-ment is a process in which efforts to exert control are central. These conceptual definitions also suggest that participation with others to achieve goals, efforts to gain access to resources, and some critical understanding of the sociopolitical environment are basic components of the construct. Applying this general framework to an organizational level of analysis suggests that empowerment may inc…","author":[{"dropping-particle":"","family":"Zimmerman","given":"Marc A.","non-dropping-particle":"","parse-names":false,"suffix":""}],"chapter-number":"2","container-title":"Handbook of Community Psychology","edition":"1st","editor":[{"dropping-particle":"","family":"Rappaport","given":"Julian","non-dropping-particle":"","parse-names":false,"suffix":""},{"dropping-particle":"","family":"Seidman","given":"Edward","non-dropping-particle":"","parse-names":false,"suffix":""}],"id":"ITEM-1","issued":{"date-parts":[["2000"]]},"note":"Participation, control, and critical awareness are essential aspects of empowerment. At\nthe individual level of analysis, these factors include a belief in one's ability to exert control (intrapersonal component), involvement in decision-making (behavioral component), and an understanding of causal agents (interactional component). \n\nThese definitions suggest that empower- ment is a process in which efforts to exert control are central. These conceptual definitions also suggest that participation with others to achieve goals, efforts to gain access to resources, and some critical understanding of the sociopolitical environment are basic components of the construct.\n\nEmpowerment theory connects individual well-being with the larger social and political environment, and suggests that people need opportunities to become active in community decision-making in order to improve their lives, organizations, and communities. Individual participants may develop a sense of empowerment even if wrong decisions are made because they may develop a greater understanding of the decision-making process, develop confidence to influence decisions that affect their lives, and work to make their concerns known. Organizations may be empowering even if policy change is not achieved because they provide settings in which individuals can attempt to take control of their own lives. Communities may enhance opportunities for residents to participate in the policy process even if some battles are lost. A community can be empowered because the citizens engage in activities that maintain or improve their collective quality of life.\n\nEmpowennent is a multilevel construct that requires us to think in tenns of health\npromotion, self- and mutual-help, and mUltiple definitions of competence. Research on empowennent will add to our understanding of individual adaptation, organizational develop- ment, and community life. \n\nEmpowerment is an individual-level construct when one is con- cerned with intrapersonal and behavioral variables, an organizational-level construct when one is concerned with resource mobilization and participatory opportunities, and a community- level construct when sociopolitical structure and social change are of concern.\n\nPenyertaan, kawalan, dan kesedaran kritikal adalah aspek penting dalam pemberdayaan. Pada tahap analisis individu, faktor-faktor ini termasuk kepercayaan terhadap keupayaan seseorang untuk mengendalikan (komponen intrapersonal), penglibatan dalam membuat keputusan (komponen tingkah laku), dan pemahaman tentang agen kausal (komponen interaksi).","page":"43-63","publisher":"Springer Science+Business Media","publisher-place":"New York","title":"Empowerment Theory: Psychological, Organizational and Community Levels of Analysis","type":"chapter"},"uris":["http://www.mendeley.com/documents/?uuid=aa31c731-5fd1-4c2f-b165-9dc414a18d58"]}],"mendeley":{"formattedCitation":"(Zimmerman, 2000)","manualFormatting":"Zimmerman (2000)","plainTextFormattedCitation":"(Zimmerman, 2000)","previouslyFormattedCitation":"(Zimmerman, 2000)"},"properties":{"noteIndex":0},"schema":"https://github.com/citation-style-language/schema/raw/master/csl-citation.json"}</w:instrText>
      </w:r>
      <w:r w:rsidR="005A4273" w:rsidRPr="00DE5247">
        <w:rPr>
          <w:lang w:val="tr-TR"/>
        </w:rPr>
        <w:fldChar w:fldCharType="separate"/>
      </w:r>
      <w:r w:rsidRPr="00DE5247">
        <w:rPr>
          <w:noProof/>
          <w:lang w:val="tr-TR"/>
        </w:rPr>
        <w:t>Zimmerman (2000)</w:t>
      </w:r>
      <w:r w:rsidR="005A4273" w:rsidRPr="00DE5247">
        <w:rPr>
          <w:lang w:val="tr-TR"/>
        </w:rPr>
        <w:fldChar w:fldCharType="end"/>
      </w:r>
      <w:r w:rsidRPr="00DE5247">
        <w:rPr>
          <w:lang w:val="tr-TR"/>
        </w:rPr>
        <w:t xml:space="preserve"> menerangkan pemerkasaan sebagai keupayaan peserta untuk membuat pilihan; melibatkan diri dalam membuat keputusan dan membangunkan rasa kawalan; bergantung kepada sejauh mana mereka mempunyai peluang untuk mengakses; mendapatkan dan menguruskan sumber; dan mengambil bahagian dalam komuniti mereka. Pemerkasaan individu, menurut </w:t>
      </w:r>
      <w:r w:rsidR="005A4273" w:rsidRPr="00DE5247">
        <w:rPr>
          <w:lang w:val="tr-TR"/>
        </w:rPr>
        <w:fldChar w:fldCharType="begin" w:fldLock="1"/>
      </w:r>
      <w:r w:rsidR="00D05F39">
        <w:rPr>
          <w:lang w:val="tr-TR"/>
        </w:rPr>
        <w:instrText>ADDIN CSL_CITATION {"citationItems":[{"id":"ITEM-1","itemData":{"DOI":"https://doi.org/10.1080/00420980125039","abstract":"This paper investigates the relationship between participation, empowerment and sustainability. Using the multisectoral and multicontextual experience of participation amassed in South Africa, both pre- and post-apartheid, we address two questions: does participation lead to empowerment; and does empowerment, in turn, lead to sustainability? Further, what external factors mediate and in?uence that relationship? Analysis shows that a relationship does exist and is contingent on a number of contextual factors, crucial to its success. Findings are discussed in terms of the international literature on community participation and local democracy, and policy implications are identi?ed.","author":[{"dropping-particle":"","family":"Lyons","given":"Michal","non-dropping-particle":"","parse-names":false,"suffix":""},{"dropping-particle":"","family":"Smuts","given":"Carin","non-dropping-particle":"","parse-names":false,"suffix":""},{"dropping-particle":"","family":"Stephens","given":"Anthea","non-dropping-particle":"","parse-names":false,"suffix":""}],"container-title":"Urban Studies","id":"ITEM-1","issue":"8","issued":{"date-parts":[["2001"]]},"note":"However, the notion of a ‘successfully completed’ proj- ect is open to interpretation. In this paper, we take it to mean: successful completion of the physical facilities in terms of the project brief; successful management of the pro- grammed operation of the project; and, that it serves the needs of the community and is serving its intended purpose.","page":"1233-1251","title":"Participation , Empowerment and Sustainability : ( How ) Do the Links Work ?","type":"article-journal","volume":"38"},"uris":["http://www.mendeley.com/documents/?uuid=26b10544-dbeb-4366-b286-865d7537b33e"]}],"mendeley":{"formattedCitation":"(Lyons, Smuts and Stephens, 2001)","manualFormatting":"Lyons, Smuts, &amp; Stephens (2001)","plainTextFormattedCitation":"(Lyons, Smuts and Stephens, 2001)","previouslyFormattedCitation":"(Lyons, Smuts and Stephens, 2001)"},"properties":{"noteIndex":0},"schema":"https://github.com/citation-style-language/schema/raw/master/csl-citation.json"}</w:instrText>
      </w:r>
      <w:r w:rsidR="005A4273" w:rsidRPr="00DE5247">
        <w:rPr>
          <w:lang w:val="tr-TR"/>
        </w:rPr>
        <w:fldChar w:fldCharType="separate"/>
      </w:r>
      <w:r w:rsidRPr="00DE5247">
        <w:rPr>
          <w:noProof/>
          <w:lang w:val="tr-TR"/>
        </w:rPr>
        <w:t>Lyons, Smuts, &amp; Stephens (2001)</w:t>
      </w:r>
      <w:r w:rsidR="005A4273" w:rsidRPr="00DE5247">
        <w:rPr>
          <w:lang w:val="tr-TR"/>
        </w:rPr>
        <w:fldChar w:fldCharType="end"/>
      </w:r>
      <w:r w:rsidRPr="00DE5247">
        <w:rPr>
          <w:lang w:val="tr-TR"/>
        </w:rPr>
        <w:t xml:space="preserve"> memerlukan pelbagai jenis kemahiran dan kebolehan yang mana ia diperolehi daripada pengalaman dan latihan daripada projek-projek pemerkasaan.  Menurut </w:t>
      </w:r>
      <w:r w:rsidR="005A4273" w:rsidRPr="00DE5247">
        <w:rPr>
          <w:lang w:val="tr-TR"/>
        </w:rPr>
        <w:fldChar w:fldCharType="begin" w:fldLock="1"/>
      </w:r>
      <w:r w:rsidR="00D05F39">
        <w:rPr>
          <w:lang w:val="tr-TR"/>
        </w:rPr>
        <w:instrText>ADDIN CSL_CITATION {"citationItems":[{"id":"ITEM-1","itemData":{"DOI":"10.1017/CBO9781107415324.004","ISBN":"978-1-57675-153-4","author":[{"dropping-particle":"","family":"Blanchard","given":"Ken","non-dropping-particle":"","parse-names":false,"suffix":""},{"dropping-particle":"","family":"Carlos","given":"John P.","non-dropping-particle":"","parse-names":false,"suffix":""},{"dropping-particle":"","family":"Randolph","given":"Alan","non-dropping-particle":"","parse-names":false,"suffix":""}],"container-title":"Berrett-Koehler Publishers, Inc.","edition":"Second","id":"ITEM-1","issued":{"date-parts":[["2001"]]},"number-of-pages":"163","publisher":"Berrett-Koehler Publishers, Inc.","publisher-place":"San Francisco","title":"Empowerment Takes More Than a Minute","type":"book"},"uris":["http://www.mendeley.com/documents/?uuid=cc26e2ec-f4e7-4d37-952e-f9c82597c805"]}],"mendeley":{"formattedCitation":"(Blanchard, Carlos and Randolph, 2001)","manualFormatting":"Blanchard et al. (2001)","plainTextFormattedCitation":"(Blanchard, Carlos and Randolph, 2001)","previouslyFormattedCitation":"(Blanchard, Carlos and Randolph, 2001)"},"properties":{"noteIndex":0},"schema":"https://github.com/citation-style-language/schema/raw/master/csl-citation.json"}</w:instrText>
      </w:r>
      <w:r w:rsidR="005A4273" w:rsidRPr="00DE5247">
        <w:rPr>
          <w:lang w:val="tr-TR"/>
        </w:rPr>
        <w:fldChar w:fldCharType="separate"/>
      </w:r>
      <w:r w:rsidRPr="00DE5247">
        <w:rPr>
          <w:noProof/>
          <w:lang w:val="tr-TR"/>
        </w:rPr>
        <w:t>Blanchard et al. (2001)</w:t>
      </w:r>
      <w:r w:rsidR="005A4273" w:rsidRPr="00DE5247">
        <w:rPr>
          <w:lang w:val="tr-TR"/>
        </w:rPr>
        <w:fldChar w:fldCharType="end"/>
      </w:r>
      <w:r w:rsidRPr="00DE5247">
        <w:rPr>
          <w:lang w:val="tr-TR"/>
        </w:rPr>
        <w:t xml:space="preserve">, ia bukanlah satu perjalanan untuk orang yang lemah semangat.  Kerangka Pemerkasaan oleh </w:t>
      </w:r>
      <w:r w:rsidR="005A4273" w:rsidRPr="00DE5247">
        <w:rPr>
          <w:lang w:val="tr-TR"/>
        </w:rPr>
        <w:fldChar w:fldCharType="begin" w:fldLock="1"/>
      </w:r>
      <w:r w:rsidR="00D05F39">
        <w:rPr>
          <w:lang w:val="tr-TR"/>
        </w:rPr>
        <w:instrText>ADDIN CSL_CITATION {"citationItems":[{"id":"ITEM-1","itemData":{"ISBN":"9786468600","author":[{"dropping-particle":"","family":"Malhotra","given":"Anju","non-dropping-particle":"","parse-names":false,"suffix":""},{"dropping-particle":"","family":"Schuler","given":"Sidney Ruth","non-dropping-particle":"","parse-names":false,"suffix":""}],"chapter-number":"3","container-title":"Measuring empowerment: Cross-disciplinary perspectives","editor":[{"dropping-particle":"","family":"Narayan","given":"Deepa","non-dropping-particle":"","parse-names":false,"suffix":""}],"id":"ITEM-1","issued":{"date-parts":[["2005"]]},"page":"71-88","publisher":"The World Bank","publisher-place":"Washington DC, USA","title":"Women’s Empowerment as a Variable in International Development","type":"chapter"},"uris":["http://www.mendeley.com/documents/?uuid=74a906ce-1648-497c-885b-286dd8a5856a"]}],"mendeley":{"formattedCitation":"(Malhotra and Schuler, 2005)","manualFormatting":"Malhotra &amp; Schuler (2005)","plainTextFormattedCitation":"(Malhotra and Schuler, 2005)","previouslyFormattedCitation":"(Malhotra and Schuler, 2005)"},"properties":{"noteIndex":0},"schema":"https://github.com/citation-style-language/schema/raw/master/csl-citation.json"}</w:instrText>
      </w:r>
      <w:r w:rsidR="005A4273" w:rsidRPr="00DE5247">
        <w:rPr>
          <w:lang w:val="tr-TR"/>
        </w:rPr>
        <w:fldChar w:fldCharType="separate"/>
      </w:r>
      <w:r w:rsidRPr="00DE5247">
        <w:rPr>
          <w:noProof/>
          <w:lang w:val="tr-TR"/>
        </w:rPr>
        <w:t>Malhotra &amp; Schuler (2005)</w:t>
      </w:r>
      <w:r w:rsidR="005A4273" w:rsidRPr="00DE5247">
        <w:rPr>
          <w:lang w:val="tr-TR"/>
        </w:rPr>
        <w:fldChar w:fldCharType="end"/>
      </w:r>
      <w:r w:rsidRPr="00DE5247">
        <w:rPr>
          <w:lang w:val="tr-TR"/>
        </w:rPr>
        <w:t xml:space="preserve"> telah menggariskan lima dimensi dan indikator untuk mengukur pemerkasaan iaitu ekonomi; sosial dan budaya; undang-undang; politik; dan psikologi.  Manakala, Kerangka Konsep Pemerkasaan oleh </w:t>
      </w:r>
      <w:r w:rsidR="005A4273" w:rsidRPr="00DE5247">
        <w:rPr>
          <w:lang w:val="tr-TR"/>
        </w:rPr>
        <w:fldChar w:fldCharType="begin" w:fldLock="1"/>
      </w:r>
      <w:r w:rsidRPr="00DE5247">
        <w:rPr>
          <w:lang w:val="tr-TR"/>
        </w:rPr>
        <w:instrText>ADDIN CSL_CITATION {"citationItems":[{"id":"ITEM-1","itemData":{"DOI":"https://doi.org/10.1111/1467-7660.00125","abstract":"ABSTRACT This paper begins from the understanding that women's empowerment is about the process by which those who have been denied the ability to make strategic life choices acquire such an ability. Awide gap separates this processual under- standing of empowerment from the more instrumentalist forms of advocacy which have required the measurement and quanti®cation ofempowerment. The ability to exercise choice incorporates three inter-related dimensions: resources (de®ned broadly to include not only access, but also future claims, to both material and human and social resources); agency (including processes of decision making, as well as less measurable manifestations of agency such as negotiation, deception and manipulation); and achievements (well-being outcomes). A number of studies of women's empowerment are analysed to make some important methodological points about the measurement of empowerment. The paper argues that these three dimensions of choice are indivisible in determining the meaning ofan indicator and hence its validity as a measure ofempowerment. The notion ofchoice is further quali®ed by referring to the conditions of choice, its content and consequences. These quali®cations represent an attempt to incorporate the structural parameters of individual choice in the analysis of women's empowerment.","author":[{"dropping-particle":"","family":"Kabeer","given":"Naila","non-dropping-particle":"","parse-names":false,"suffix":""}],"container-title":"Development and Change","id":"ITEM-1","issue":"May","issued":{"date-parts":[["1999"]]},"page":"435-464","title":"Resources , Agency , Achievements : Reflections on the Measurement of Women's Empowerment","type":"article-journal","volume":"30"},"uris":["http://www.mendeley.com/documents/?uuid=1c427390-7d34-49df-a81a-52c4e036eb3d"]}],"mendeley":{"formattedCitation":"(Kabeer, 1999)","manualFormatting":"Kabeer (1999)","plainTextFormattedCitation":"(Kabeer, 1999)","previouslyFormattedCitation":"(Kabeer, 1999)"},"properties":{"noteIndex":0},"schema":"https://github.com/citation-style-language/schema/raw/master/csl-citation.json"}</w:instrText>
      </w:r>
      <w:r w:rsidR="005A4273" w:rsidRPr="00DE5247">
        <w:rPr>
          <w:lang w:val="tr-TR"/>
        </w:rPr>
        <w:fldChar w:fldCharType="separate"/>
      </w:r>
      <w:r w:rsidRPr="00DE5247">
        <w:rPr>
          <w:noProof/>
          <w:lang w:val="tr-TR"/>
        </w:rPr>
        <w:t>Kabeer (1999)</w:t>
      </w:r>
      <w:r w:rsidR="005A4273" w:rsidRPr="00DE5247">
        <w:rPr>
          <w:lang w:val="tr-TR"/>
        </w:rPr>
        <w:fldChar w:fldCharType="end"/>
      </w:r>
      <w:r w:rsidRPr="00DE5247">
        <w:rPr>
          <w:lang w:val="tr-TR"/>
        </w:rPr>
        <w:t xml:space="preserve">  menggabungkan tiga dimensi yang saling berkaitan iaitu kepelbagaian sumber (pra-syarat yang penting); agensi (proses); dan pencapaian (hasil).  Walaupun kedua-dua kerangka tersebut memfokus kepada pemerkasaan wanita, namun keduanya relevan untuk dikaitkan dengan keusahawanan mampan kerana </w:t>
      </w:r>
      <w:r w:rsidRPr="00DE5247">
        <w:rPr>
          <w:lang w:val="tr-TR"/>
        </w:rPr>
        <w:lastRenderedPageBreak/>
        <w:t xml:space="preserve">definisi pemerkasaan menurut </w:t>
      </w:r>
      <w:r w:rsidR="005A4273" w:rsidRPr="00DE5247">
        <w:rPr>
          <w:lang w:val="tr-TR"/>
        </w:rPr>
        <w:fldChar w:fldCharType="begin" w:fldLock="1"/>
      </w:r>
      <w:r w:rsidRPr="00DE5247">
        <w:rPr>
          <w:lang w:val="tr-TR"/>
        </w:rPr>
        <w:instrText>ADDIN CSL_CITATION {"citationItems":[{"id":"ITEM-1","itemData":{"DOI":"10.1300/J293v03n02_02","ISBN":"9781317774389","abstract":"Aunque la idea de empowerment había sido ya usada en ciertas áreas es propuesta en un campo comunitario por Rappaport en el año 1981 como constructo que permite avanzar en la comprensión de las comunidades. Así, reorientar la política en el ámbito de la intervención social y comunitaria hacia un modelo de empoderamiento. Además, el autor propone un cambio de perspectiva en la intervención social y comunitaria, asumiendo que las comunidades son grupos sociales complejos y la diversidad de enfoques para comprenderlas es tal, que la búsqueda de soluciones a los problemas sociales puede ser mejor entendida en más de una forma. Rappaport define el empoderamiento como un proceso mediante el cual las personas, las organizaciones y las comunidades adquieren dominio sobre sus vidas. El autor asume un punto de vista ecológico, señalando el carácter socialmente complejo y transversal del em- poderamiento.","author":[{"dropping-particle":"","family":"Rappaport","given":"Julian","non-dropping-particle":"","parse-names":false,"suffix":""}],"container-title":"Prevention in Human Services","id":"ITEM-1","issue":"2-3","issued":{"date-parts":[["1984"]]},"note":"Julian Rappapon (1984) Studies in Empowerment, Prevention in Human Services, 3:2-3, 1-7, DOI: 10.1300/J293v03n02_02\n","page":"1-7","title":"Studies in empowerment: Introduction to the issue","type":"article-journal","volume":"3"},"uris":["http://www.mendeley.com/documents/?uuid=60bc6730-b3a7-47ec-8c4c-04214d8ad0cd"]}],"mendeley":{"formattedCitation":"(Rappaport, 1984)","manualFormatting":"Rappaport (1984)","plainTextFormattedCitation":"(Rappaport, 1984)","previouslyFormattedCitation":"(Rappaport, 1984)"},"properties":{"noteIndex":0},"schema":"https://github.com/citation-style-language/schema/raw/master/csl-citation.json"}</w:instrText>
      </w:r>
      <w:r w:rsidR="005A4273" w:rsidRPr="00DE5247">
        <w:rPr>
          <w:lang w:val="tr-TR"/>
        </w:rPr>
        <w:fldChar w:fldCharType="separate"/>
      </w:r>
      <w:r w:rsidRPr="00DE5247">
        <w:rPr>
          <w:noProof/>
          <w:lang w:val="tr-TR"/>
        </w:rPr>
        <w:t>Rappaport (1984)</w:t>
      </w:r>
      <w:r w:rsidR="005A4273" w:rsidRPr="00DE5247">
        <w:rPr>
          <w:lang w:val="tr-TR"/>
        </w:rPr>
        <w:fldChar w:fldCharType="end"/>
      </w:r>
      <w:r w:rsidRPr="00DE5247">
        <w:rPr>
          <w:lang w:val="tr-TR"/>
        </w:rPr>
        <w:t xml:space="preserve"> adalah satu proses iaitu mekanisme yang mana individu, organisasi, dan masyarakat mendapat penguasaan ke atas kehidupan mereka. </w:t>
      </w:r>
    </w:p>
    <w:p w:rsidR="00DE5247" w:rsidRPr="00DE5247" w:rsidRDefault="00DE5247" w:rsidP="00B84741">
      <w:pPr>
        <w:pStyle w:val="Default"/>
        <w:spacing w:line="276" w:lineRule="auto"/>
        <w:ind w:firstLine="709"/>
        <w:jc w:val="both"/>
        <w:rPr>
          <w:lang w:val="tr-TR"/>
        </w:rPr>
      </w:pPr>
      <w:r w:rsidRPr="00DE5247">
        <w:rPr>
          <w:lang w:val="tr-TR"/>
        </w:rPr>
        <w:t xml:space="preserve">Kebanyakan kajian-kajian berkaitan keusahawanan dan pemerkasaan dijalankan dalam konteks projek pemerkasaan wanita </w:t>
      </w:r>
      <w:r w:rsidR="005A4273" w:rsidRPr="00DE5247">
        <w:rPr>
          <w:lang w:val="tr-TR"/>
        </w:rPr>
        <w:fldChar w:fldCharType="begin" w:fldLock="1"/>
      </w:r>
      <w:r w:rsidRPr="00DE5247">
        <w:rPr>
          <w:lang w:val="tr-TR"/>
        </w:rPr>
        <w:instrText>ADDIN CSL_CITATION {"citationItems":[{"id":"ITEM-1","itemData":{"author":[{"dropping-particle":"","family":"Alhassan Rabiu","given":"","non-dropping-particle":"","parse-names":false,"suffix":""}],"container-title":"University of Ghana","id":"ITEM-1","issue":"10552661","issued":{"date-parts":[["2018"]]},"number-of-pages":"116","title":"Poverty among Women of Zangbalun in Kumbungu District of the Northern Region","type":"thesis"},"uris":["http://www.mendeley.com/documents/?uuid=6fdadcaa-695f-4ac8-ba1e-cfaaf1b52c5e"]},{"id":"ITEM-2","itemData":{"author":[{"dropping-particle":"","family":"Afruz","given":"Farhana","non-dropping-particle":"","parse-names":false,"suffix":""}],"id":"ITEM-2","issued":{"date-parts":[["2018"]]},"number-of-pages":"37","publisher-place":"Dhaka, India","title":"“ Empowered Women , Peaceful Communities ” Converting Development Initiatives into Sustainable Business Model","type":"report"},"uris":["http://www.mendeley.com/documents/?uuid=a9fa9a08-a68d-48fd-8edf-4bc709d84759"]}],"mendeley":{"formattedCitation":"(Afruz, 2018; Alhassan Rabiu, 2018)","plainTextFormattedCitation":"(Afruz, 2018; Alhassan Rabiu, 2018)","previouslyFormattedCitation":"(Afruz, 2018; Alhassan Rabiu, 2018)"},"properties":{"noteIndex":0},"schema":"https://github.com/citation-style-language/schema/raw/master/csl-citation.json"}</w:instrText>
      </w:r>
      <w:r w:rsidR="005A4273" w:rsidRPr="00DE5247">
        <w:rPr>
          <w:lang w:val="tr-TR"/>
        </w:rPr>
        <w:fldChar w:fldCharType="separate"/>
      </w:r>
      <w:r w:rsidRPr="00DE5247">
        <w:rPr>
          <w:noProof/>
          <w:lang w:val="tr-TR"/>
        </w:rPr>
        <w:t>(Afruz, 2018; Alhassan Rabiu, 2018)</w:t>
      </w:r>
      <w:r w:rsidR="005A4273" w:rsidRPr="00DE5247">
        <w:rPr>
          <w:lang w:val="tr-TR"/>
        </w:rPr>
        <w:fldChar w:fldCharType="end"/>
      </w:r>
      <w:r w:rsidRPr="00DE5247">
        <w:rPr>
          <w:lang w:val="tr-TR"/>
        </w:rPr>
        <w:t xml:space="preserve">; OKU </w:t>
      </w:r>
      <w:r w:rsidR="005A4273" w:rsidRPr="00DE5247">
        <w:rPr>
          <w:lang w:val="tr-TR"/>
        </w:rPr>
        <w:fldChar w:fldCharType="begin" w:fldLock="1"/>
      </w:r>
      <w:r w:rsidR="00D05F39">
        <w:rPr>
          <w:lang w:val="tr-TR"/>
        </w:rPr>
        <w:instrText>ADDIN CSL_CITATION {"citationItems":[{"id":"ITEM-1","itemData":{"DOI":"10.3390/soc9040067","author":[{"dropping-particle":"","family":"Stienstra","given":"Deborah","non-dropping-particle":"","parse-names":false,"suffix":""},{"dropping-particle":"","family":"Lee","given":"Theresa Man Ling","non-dropping-particle":"","parse-names":false,"suffix":""}],"container-title":"Societies","id":"ITEM-1","issue":"67","issued":{"date-parts":[["2019"]]},"page":"1-14","title":"Disabilities and Livelihoods : Rethinking a Conceptual Framework","type":"article-journal","volume":"9"},"uris":["http://www.mendeley.com/documents/?uuid=ff68ecdb-f5ca-4d5c-8bdc-c0ca9c5f18e4"]}],"mendeley":{"formattedCitation":"(Stienstra and Lee, 2019)","plainTextFormattedCitation":"(Stienstra and Lee, 2019)","previouslyFormattedCitation":"(Stienstra and Lee, 2019)"},"properties":{"noteIndex":0},"schema":"https://github.com/citation-style-language/schema/raw/master/csl-citation.json"}</w:instrText>
      </w:r>
      <w:r w:rsidR="005A4273" w:rsidRPr="00DE5247">
        <w:rPr>
          <w:lang w:val="tr-TR"/>
        </w:rPr>
        <w:fldChar w:fldCharType="separate"/>
      </w:r>
      <w:r w:rsidR="00D05F39" w:rsidRPr="00D05F39">
        <w:rPr>
          <w:noProof/>
          <w:lang w:val="tr-TR"/>
        </w:rPr>
        <w:t>(Stienstra and Lee, 2019)</w:t>
      </w:r>
      <w:r w:rsidR="005A4273" w:rsidRPr="00DE5247">
        <w:rPr>
          <w:lang w:val="tr-TR"/>
        </w:rPr>
        <w:fldChar w:fldCharType="end"/>
      </w:r>
      <w:r w:rsidRPr="00DE5247">
        <w:rPr>
          <w:lang w:val="tr-TR"/>
        </w:rPr>
        <w:t xml:space="preserve">; dan banyak juga kajian mengenai projek pemerkasaan melibatkan pembangunan keusahawanan di negara-negara miskin </w:t>
      </w:r>
      <w:r w:rsidR="005A4273" w:rsidRPr="00DE5247">
        <w:rPr>
          <w:lang w:val="tr-TR"/>
        </w:rPr>
        <w:fldChar w:fldCharType="begin" w:fldLock="1"/>
      </w:r>
      <w:r w:rsidR="00D05F39">
        <w:rPr>
          <w:lang w:val="tr-TR"/>
        </w:rPr>
        <w:instrText>ADDIN CSL_CITATION {"citationItems":[{"id":"ITEM-1","itemData":{"DOI":"10.18488/journal.1005/2016.6.3/1005.3.41.49","abstract":"Community empowerment is an important goal for many governments in developing countries. Various activities for the empowerment of communities have been conducted in developing countries like Pakistan. The present research attempted to assess an activity of community empowerment on the Crop Maximization Project (CMP-II) in Sindh province, Pakistan. A total of 455 small farmers were surveyed using questionnaire in three districts namely; Khairpur, Nawabshah and Mirpurkhas. The level of empowerment was assessed based on three domains namely; capacity building, self-esteem and self-efficacy. The findings of the study showed that, there was a moderate level of empowerment among the beneficiaries (small farmers) of the crop maximization projects of the Sindh province based on a summed mean score of 178.77 for the three dimensions of empowerment. Therefore, it is concluded that projects like crop maximization are able to empower the beneficiaries as the intangible outcomes.","author":[{"dropping-particle":"","family":"Khushk","given":"Ghulam Mujtaba","non-dropping-particle":"","parse-names":false,"suffix":""},{"dropping-particle":"","family":"Samah","given":"Asnarulkhadi Abu","non-dropping-particle":"","parse-names":false,"suffix":""},{"dropping-particle":"","family":"Hamsan","given":"Hanina","non-dropping-particle":"","parse-names":false,"suffix":""},{"dropping-particle":"","family":"Ahmad","given":"Nobaya","non-dropping-particle":"","parse-names":false,"suffix":""}],"container-title":"Asian Economic and Social Society","id":"ITEM-1","issue":"3","issued":{"date-parts":[["2016"]]},"page":"41-49","title":"Empowerment Among Small Farmers Of Sindh Province, Pakistan","type":"article-journal","volume":"6"},"uris":["http://www.mendeley.com/documents/?uuid=dcc60eae-8f1f-4308-b0ef-738bfad5ebe3"]},{"id":"ITEM-2","itemData":{"DOI":"10.1093/cdj/bsw059","ISSN":"14682656","author":[{"dropping-particle":"","family":"Kenny","given":"Sue","non-dropping-particle":"","parse-names":false,"suffix":""},{"dropping-particle":"","family":"Hasan","given":"Azwar","non-dropping-particle":"","parse-names":false,"suffix":""},{"dropping-particle":"","family":"Fanany","given":"Ismet","non-dropping-particle":"","parse-names":false,"suffix":""}],"container-title":"Community Development Journal","id":"ITEM-2","issue":"1","issued":{"date-parts":[["2017"]]},"page":"107-124","title":"Community Development in Indonesia","type":"article-journal","volume":"52"},"uris":["http://www.mendeley.com/documents/?uuid=da226a97-2354-454c-a04a-45b66362f0ab"]}],"mendeley":{"formattedCitation":"(Khushk &lt;i&gt;et al.&lt;/i&gt;, 2016; Kenny, Hasan and Fanany, 2017)","plainTextFormattedCitation":"(Khushk et al., 2016; Kenny, Hasan and Fanany, 2017)","previouslyFormattedCitation":"(Khushk &lt;i&gt;et al.&lt;/i&gt;, 2016; Kenny, Hasan and Fanany, 2017)"},"properties":{"noteIndex":0},"schema":"https://github.com/citation-style-language/schema/raw/master/csl-citation.json"}</w:instrText>
      </w:r>
      <w:r w:rsidR="005A4273" w:rsidRPr="00DE5247">
        <w:rPr>
          <w:lang w:val="tr-TR"/>
        </w:rPr>
        <w:fldChar w:fldCharType="separate"/>
      </w:r>
      <w:r w:rsidR="00D05F39" w:rsidRPr="00D05F39">
        <w:rPr>
          <w:noProof/>
          <w:lang w:val="tr-TR"/>
        </w:rPr>
        <w:t xml:space="preserve">(Khushk </w:t>
      </w:r>
      <w:r w:rsidR="00D05F39" w:rsidRPr="00D05F39">
        <w:rPr>
          <w:i/>
          <w:noProof/>
          <w:lang w:val="tr-TR"/>
        </w:rPr>
        <w:t>et al.</w:t>
      </w:r>
      <w:r w:rsidR="00D05F39" w:rsidRPr="00D05F39">
        <w:rPr>
          <w:noProof/>
          <w:lang w:val="tr-TR"/>
        </w:rPr>
        <w:t>, 2016; Kenny, Hasan and Fanany, 2017)</w:t>
      </w:r>
      <w:r w:rsidR="005A4273" w:rsidRPr="00DE5247">
        <w:rPr>
          <w:lang w:val="tr-TR"/>
        </w:rPr>
        <w:fldChar w:fldCharType="end"/>
      </w:r>
      <w:r w:rsidRPr="00DE5247">
        <w:rPr>
          <w:lang w:val="tr-TR"/>
        </w:rPr>
        <w:t>.  Daripada kajian-kajian tersebut, pembinaan keupayaan, harga diri dan efikasi kendiri yang dibangunkan dari projek-projek pemerkasaan ternyata berkesan mempengaruhi peningkatan pencapaian peserta untuk menjadi lebih berdayaupaya.  Namun begitu, tidak banyak kajian mengkaji dalam konteks bekas penerima bantuan kebajikan bulanan. Bolehkah mereka bertahan lama berdikari tanpa bergantung lagi dengan bantuan kebajikan setiap bulan?  Oleh yang demikian, perlunya kajian ini dijalankan adalah untuk memberikan pemahaman mendalam mengenai realiti sebenar yang dilalui oleh usahawan bimbingan yang telah lama bergantung dengan bantuan kebajikan di negara ini untuk membangunkan diri mereka sendiri secara berdikari.</w:t>
      </w:r>
    </w:p>
    <w:p w:rsidR="00832C4E" w:rsidRPr="00DE5247" w:rsidRDefault="00832C4E" w:rsidP="00B84741">
      <w:pPr>
        <w:pStyle w:val="Default"/>
        <w:spacing w:line="516" w:lineRule="auto"/>
        <w:ind w:firstLine="709"/>
        <w:jc w:val="both"/>
        <w:rPr>
          <w:lang w:val="tr-TR"/>
        </w:rPr>
      </w:pPr>
    </w:p>
    <w:p w:rsidR="00C23831" w:rsidRDefault="00C23831" w:rsidP="00F875E5">
      <w:pPr>
        <w:pStyle w:val="ListParagraph"/>
        <w:numPr>
          <w:ilvl w:val="0"/>
          <w:numId w:val="1"/>
        </w:numPr>
        <w:spacing w:line="240" w:lineRule="auto"/>
        <w:ind w:left="284" w:hanging="284"/>
        <w:rPr>
          <w:rFonts w:ascii="Times New Roman" w:hAnsi="Times New Roman" w:cs="Times New Roman"/>
          <w:b/>
        </w:rPr>
      </w:pPr>
      <w:r>
        <w:rPr>
          <w:rFonts w:ascii="Times New Roman" w:hAnsi="Times New Roman" w:cs="Times New Roman"/>
          <w:b/>
        </w:rPr>
        <w:t>METODE PENELITIAN</w:t>
      </w:r>
    </w:p>
    <w:p w:rsidR="000F0022" w:rsidRPr="000F0022" w:rsidRDefault="000F0022" w:rsidP="00B84741">
      <w:pPr>
        <w:autoSpaceDE w:val="0"/>
        <w:autoSpaceDN w:val="0"/>
        <w:adjustRightInd w:val="0"/>
        <w:spacing w:line="276" w:lineRule="auto"/>
        <w:ind w:left="0" w:firstLine="567"/>
        <w:rPr>
          <w:rFonts w:ascii="Times New Roman" w:hAnsi="Times New Roman" w:cs="Times New Roman"/>
          <w:sz w:val="24"/>
          <w:szCs w:val="24"/>
          <w:lang w:val="en-MY"/>
        </w:rPr>
      </w:pPr>
      <w:r w:rsidRPr="000F0022">
        <w:rPr>
          <w:rFonts w:ascii="Times New Roman" w:hAnsi="Times New Roman" w:cs="Times New Roman"/>
          <w:sz w:val="24"/>
          <w:szCs w:val="24"/>
          <w:lang w:val="en-MY"/>
        </w:rPr>
        <w:t xml:space="preserve">Pendekatan kajian kes kualitatif digunakan untuk menerangkan aspek yang diperlukan usahawan bimbingan Program 2YEP dalam membangunkan keusahawanan mampan setelah melalui proses pemerkasaan selama 2 tahun.  </w:t>
      </w:r>
      <w:r w:rsidRPr="000F0022">
        <w:rPr>
          <w:rFonts w:ascii="Times New Roman" w:hAnsi="Times New Roman" w:cs="Times New Roman"/>
          <w:sz w:val="24"/>
          <w:szCs w:val="24"/>
        </w:rPr>
        <w:t xml:space="preserve">Seramai lapan orang usahawan bimbingan yang merupakan peserta Program 2YEP di bawah bimbingan Jabatan Kebajikan Malaysia (JKM) telah dipilih.  Peserta Program 2YEP yang terpilih adalah terdiri daripada bekas penerima bantuan kebajikan ibu tunggal, OKU dan keluarga miskin.  Kriteria peserta kajian yang ditetapkan adalah 1) bekas peserta Program 2YEP yang tinggal di Negeri Sembilan (lokasi projek rintis); 2) telah menjalankan perniagaan melebihi lima (5) tahun; 3) berjaya meningkatkan hasil pendapatan melebihi Purata Garis Kemiskinan dan 4) sukarela menamatkan bantuan kebajikan bulanan JKM yang diterima sehingga kini.  </w:t>
      </w:r>
      <w:r w:rsidRPr="000F0022">
        <w:rPr>
          <w:rFonts w:ascii="Times New Roman" w:hAnsi="Times New Roman" w:cs="Times New Roman"/>
          <w:sz w:val="24"/>
          <w:szCs w:val="24"/>
          <w:lang w:val="en-MY"/>
        </w:rPr>
        <w:t xml:space="preserve">Bagi memantapkan dapatan kajian, pengumpulan data dijalankan secara triangulasi iaitu temu bual semi berstruktur; pemerhatian tidak turut serta; dan analisis dokumen.  Selain itu, untuk kebolehsahan kajian, data dari transkripsi temu bual; pemerhatian; dan dapatan dari interpretasi pengkaji dirujuk kepada peserta kajian untuk tujuan semakan dan pembetulan maklumat yang tidak tepat.  </w:t>
      </w:r>
    </w:p>
    <w:p w:rsidR="00C23831" w:rsidRDefault="00C23831" w:rsidP="00B84741">
      <w:pPr>
        <w:pStyle w:val="ListParagraph"/>
        <w:spacing w:line="516" w:lineRule="auto"/>
        <w:ind w:left="284" w:firstLine="0"/>
        <w:contextualSpacing w:val="0"/>
        <w:rPr>
          <w:rFonts w:ascii="Times New Roman" w:hAnsi="Times New Roman" w:cs="Times New Roman"/>
        </w:rPr>
      </w:pPr>
    </w:p>
    <w:p w:rsidR="000713CA" w:rsidRPr="00C23831" w:rsidRDefault="000713CA" w:rsidP="00B84741">
      <w:pPr>
        <w:pStyle w:val="ListParagraph"/>
        <w:spacing w:line="516" w:lineRule="auto"/>
        <w:ind w:left="284" w:firstLine="0"/>
        <w:contextualSpacing w:val="0"/>
        <w:rPr>
          <w:rFonts w:ascii="Times New Roman" w:hAnsi="Times New Roman" w:cs="Times New Roman"/>
        </w:rPr>
      </w:pPr>
    </w:p>
    <w:p w:rsidR="00453793" w:rsidRPr="00033015" w:rsidRDefault="00F875E5" w:rsidP="000713CA">
      <w:pPr>
        <w:pStyle w:val="ListParagraph"/>
        <w:numPr>
          <w:ilvl w:val="0"/>
          <w:numId w:val="1"/>
        </w:numPr>
        <w:spacing w:line="276" w:lineRule="auto"/>
        <w:ind w:left="284" w:hanging="284"/>
        <w:contextualSpacing w:val="0"/>
        <w:rPr>
          <w:rFonts w:ascii="Times New Roman" w:hAnsi="Times New Roman" w:cs="Times New Roman"/>
          <w:b/>
        </w:rPr>
      </w:pPr>
      <w:r>
        <w:rPr>
          <w:rFonts w:ascii="Times New Roman" w:hAnsi="Times New Roman" w:cs="Times New Roman"/>
          <w:b/>
        </w:rPr>
        <w:lastRenderedPageBreak/>
        <w:t>TEMUAN DAN PEMBAHASAN</w:t>
      </w:r>
    </w:p>
    <w:p w:rsidR="000F0022" w:rsidRDefault="000F0022" w:rsidP="00B84741">
      <w:pPr>
        <w:pStyle w:val="Default"/>
        <w:spacing w:line="276" w:lineRule="auto"/>
        <w:ind w:firstLine="567"/>
        <w:jc w:val="both"/>
      </w:pPr>
      <w:bookmarkStart w:id="0" w:name="_Hlk21514178"/>
      <w:r w:rsidRPr="003A7F7A">
        <w:t xml:space="preserve">Jadual 1 membentangkan </w:t>
      </w:r>
      <w:r w:rsidRPr="003A7F7A">
        <w:rPr>
          <w:color w:val="auto"/>
        </w:rPr>
        <w:t>sebahagian</w:t>
      </w:r>
      <w:r w:rsidRPr="003A7F7A">
        <w:t xml:space="preserve"> dapatan kajian yang diperolehi daripada lapan orang peserta </w:t>
      </w:r>
      <w:r w:rsidRPr="003A7F7A">
        <w:rPr>
          <w:color w:val="auto"/>
        </w:rPr>
        <w:t xml:space="preserve">atau responden kajian </w:t>
      </w:r>
      <w:r w:rsidRPr="003A7F7A">
        <w:t>yang merangkumi rumusan daripada hasil temu bual, pemerhatian tidak turut serta dan analisis dokumen</w:t>
      </w:r>
      <w:r>
        <w:t xml:space="preserve">. </w:t>
      </w:r>
    </w:p>
    <w:p w:rsidR="000713CA" w:rsidRPr="003A7F7A" w:rsidRDefault="000713CA" w:rsidP="00B84741">
      <w:pPr>
        <w:pStyle w:val="Default"/>
        <w:spacing w:line="276" w:lineRule="auto"/>
        <w:ind w:firstLine="567"/>
        <w:jc w:val="both"/>
        <w:rPr>
          <w:lang w:val="tr-TR"/>
        </w:rPr>
      </w:pPr>
    </w:p>
    <w:bookmarkEnd w:id="0"/>
    <w:p w:rsidR="000F0022" w:rsidRPr="000713CA" w:rsidRDefault="000F0022" w:rsidP="000713CA">
      <w:pPr>
        <w:spacing w:line="240" w:lineRule="auto"/>
        <w:ind w:left="1134" w:hanging="1134"/>
        <w:rPr>
          <w:rFonts w:ascii="Times New Roman" w:hAnsi="Times New Roman" w:cs="Times New Roman"/>
          <w:i/>
          <w:sz w:val="24"/>
          <w:szCs w:val="24"/>
        </w:rPr>
      </w:pPr>
      <w:r w:rsidRPr="000713CA">
        <w:rPr>
          <w:rFonts w:ascii="Times New Roman" w:hAnsi="Times New Roman" w:cs="Times New Roman"/>
          <w:sz w:val="24"/>
          <w:szCs w:val="24"/>
        </w:rPr>
        <w:t>Jadual 1: Rumusan hasil temu bual, pemerhatian tidak turut serta dan analisis dokumen</w:t>
      </w:r>
    </w:p>
    <w:p w:rsidR="000F0022" w:rsidRPr="000F0022" w:rsidRDefault="000F0022" w:rsidP="000F0022">
      <w:pPr>
        <w:spacing w:line="240" w:lineRule="auto"/>
        <w:rPr>
          <w:rFonts w:ascii="Times New Roman" w:hAnsi="Times New Roman" w:cs="Times New Roman"/>
          <w:b/>
          <w:i/>
          <w:sz w:val="24"/>
          <w:szCs w:val="24"/>
        </w:r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824"/>
      </w:tblGrid>
      <w:tr w:rsidR="000F0022" w:rsidRPr="00083B5D" w:rsidTr="000F0022">
        <w:tc>
          <w:tcPr>
            <w:tcW w:w="8505" w:type="dxa"/>
            <w:gridSpan w:val="2"/>
            <w:tcBorders>
              <w:top w:val="single" w:sz="4" w:space="0" w:color="auto"/>
              <w:bottom w:val="single" w:sz="4" w:space="0" w:color="auto"/>
            </w:tcBorders>
            <w:shd w:val="clear" w:color="auto" w:fill="D9D9D9" w:themeFill="background1" w:themeFillShade="D9"/>
          </w:tcPr>
          <w:p w:rsidR="000F0022" w:rsidRPr="00083B5D" w:rsidRDefault="000F0022" w:rsidP="00CA0291">
            <w:pPr>
              <w:jc w:val="center"/>
              <w:rPr>
                <w:rFonts w:ascii="Times New Roman" w:hAnsi="Times New Roman" w:cs="Times New Roman"/>
                <w:b/>
                <w:sz w:val="24"/>
                <w:szCs w:val="24"/>
              </w:rPr>
            </w:pPr>
            <w:r w:rsidRPr="00083B5D">
              <w:rPr>
                <w:rFonts w:ascii="Times New Roman" w:hAnsi="Times New Roman" w:cs="Times New Roman"/>
                <w:b/>
                <w:sz w:val="24"/>
                <w:szCs w:val="24"/>
              </w:rPr>
              <w:t xml:space="preserve">Tema 1 </w:t>
            </w:r>
            <w:r w:rsidRPr="00083B5D">
              <w:rPr>
                <w:rFonts w:ascii="Times New Roman" w:hAnsi="Times New Roman" w:cs="Times New Roman"/>
                <w:b/>
                <w:sz w:val="24"/>
                <w:szCs w:val="24"/>
                <w:lang w:val="tr-TR"/>
              </w:rPr>
              <w:t>Sistem Pengurusan Cekap</w:t>
            </w:r>
          </w:p>
        </w:tc>
      </w:tr>
      <w:tr w:rsidR="000F0022" w:rsidRPr="00083B5D" w:rsidTr="000F0022">
        <w:tc>
          <w:tcPr>
            <w:tcW w:w="3681" w:type="dxa"/>
            <w:tcBorders>
              <w:top w:val="single" w:sz="4" w:space="0" w:color="auto"/>
            </w:tcBorders>
            <w:shd w:val="clear" w:color="auto" w:fill="D9D9D9" w:themeFill="background1" w:themeFillShade="D9"/>
          </w:tcPr>
          <w:p w:rsidR="000F0022" w:rsidRPr="00083B5D" w:rsidRDefault="000F0022" w:rsidP="00CA0291">
            <w:pPr>
              <w:jc w:val="center"/>
              <w:rPr>
                <w:rFonts w:ascii="Times New Roman" w:hAnsi="Times New Roman" w:cs="Times New Roman"/>
                <w:b/>
                <w:sz w:val="24"/>
                <w:szCs w:val="24"/>
              </w:rPr>
            </w:pPr>
            <w:r w:rsidRPr="00083B5D">
              <w:rPr>
                <w:rFonts w:ascii="Times New Roman" w:hAnsi="Times New Roman" w:cs="Times New Roman"/>
                <w:b/>
                <w:sz w:val="24"/>
                <w:szCs w:val="24"/>
              </w:rPr>
              <w:t>Sub Tema</w:t>
            </w:r>
          </w:p>
        </w:tc>
        <w:tc>
          <w:tcPr>
            <w:tcW w:w="4824" w:type="dxa"/>
            <w:tcBorders>
              <w:top w:val="single" w:sz="4" w:space="0" w:color="auto"/>
            </w:tcBorders>
            <w:shd w:val="clear" w:color="auto" w:fill="D9D9D9" w:themeFill="background1" w:themeFillShade="D9"/>
          </w:tcPr>
          <w:p w:rsidR="000F0022" w:rsidRPr="00083B5D" w:rsidRDefault="000F0022" w:rsidP="00CA0291">
            <w:pPr>
              <w:jc w:val="center"/>
              <w:rPr>
                <w:rFonts w:ascii="Times New Roman" w:hAnsi="Times New Roman" w:cs="Times New Roman"/>
                <w:b/>
                <w:sz w:val="24"/>
                <w:szCs w:val="24"/>
              </w:rPr>
            </w:pPr>
            <w:r w:rsidRPr="00083B5D">
              <w:rPr>
                <w:rFonts w:ascii="Times New Roman" w:hAnsi="Times New Roman" w:cs="Times New Roman"/>
                <w:b/>
                <w:sz w:val="24"/>
                <w:szCs w:val="24"/>
              </w:rPr>
              <w:t>Kod</w:t>
            </w:r>
          </w:p>
        </w:tc>
      </w:tr>
      <w:tr w:rsidR="000F0022" w:rsidRPr="00083B5D" w:rsidTr="000F0022">
        <w:tc>
          <w:tcPr>
            <w:tcW w:w="3681" w:type="dxa"/>
          </w:tcPr>
          <w:p w:rsidR="000F0022" w:rsidRPr="00083B5D" w:rsidRDefault="000F0022" w:rsidP="00CA0291">
            <w:pPr>
              <w:rPr>
                <w:rFonts w:ascii="Times New Roman" w:hAnsi="Times New Roman" w:cs="Times New Roman"/>
                <w:sz w:val="24"/>
                <w:szCs w:val="24"/>
              </w:rPr>
            </w:pPr>
            <w:r w:rsidRPr="00083B5D">
              <w:rPr>
                <w:rFonts w:ascii="Times New Roman" w:hAnsi="Times New Roman" w:cs="Times New Roman"/>
                <w:sz w:val="24"/>
                <w:szCs w:val="24"/>
              </w:rPr>
              <w:t>Kemahiran mengurus sumber</w:t>
            </w:r>
          </w:p>
        </w:tc>
        <w:tc>
          <w:tcPr>
            <w:tcW w:w="4824" w:type="dxa"/>
          </w:tcPr>
          <w:p w:rsidR="000F0022" w:rsidRPr="00083B5D" w:rsidRDefault="000F0022" w:rsidP="00CA0291">
            <w:pPr>
              <w:rPr>
                <w:rFonts w:ascii="Times New Roman" w:hAnsi="Times New Roman" w:cs="Times New Roman"/>
                <w:sz w:val="24"/>
                <w:szCs w:val="24"/>
              </w:rPr>
            </w:pPr>
            <w:r w:rsidRPr="00083B5D">
              <w:rPr>
                <w:rFonts w:ascii="Times New Roman" w:hAnsi="Times New Roman" w:cs="Times New Roman"/>
                <w:sz w:val="24"/>
                <w:szCs w:val="24"/>
                <w:lang w:val="tr-TR"/>
              </w:rPr>
              <w:t>Memastikan semua sumber diuruskan dengan baik</w:t>
            </w:r>
          </w:p>
        </w:tc>
      </w:tr>
      <w:tr w:rsidR="000F0022" w:rsidRPr="00083B5D" w:rsidTr="000F0022">
        <w:tc>
          <w:tcPr>
            <w:tcW w:w="3681" w:type="dxa"/>
          </w:tcPr>
          <w:p w:rsidR="000F0022" w:rsidRPr="00083B5D" w:rsidRDefault="000F0022" w:rsidP="00CA0291">
            <w:pPr>
              <w:pStyle w:val="Default"/>
              <w:jc w:val="both"/>
              <w:rPr>
                <w:lang w:val="tr-TR"/>
              </w:rPr>
            </w:pPr>
            <w:r w:rsidRPr="00083B5D">
              <w:rPr>
                <w:lang w:val="tr-TR"/>
              </w:rPr>
              <w:t>Daya kepemimpinan</w:t>
            </w:r>
          </w:p>
        </w:tc>
        <w:tc>
          <w:tcPr>
            <w:tcW w:w="4824" w:type="dxa"/>
          </w:tcPr>
          <w:p w:rsidR="000F0022" w:rsidRPr="00083B5D" w:rsidRDefault="000F0022" w:rsidP="00CA0291">
            <w:pPr>
              <w:rPr>
                <w:rFonts w:ascii="Times New Roman" w:hAnsi="Times New Roman" w:cs="Times New Roman"/>
                <w:sz w:val="24"/>
                <w:szCs w:val="24"/>
              </w:rPr>
            </w:pPr>
            <w:r w:rsidRPr="00083B5D">
              <w:rPr>
                <w:rFonts w:ascii="Times New Roman" w:hAnsi="Times New Roman" w:cs="Times New Roman"/>
                <w:sz w:val="24"/>
                <w:szCs w:val="24"/>
                <w:lang w:val="tr-TR"/>
              </w:rPr>
              <w:t>Menjadi ketua dalam mengatur tugas-tugas pekerja</w:t>
            </w:r>
          </w:p>
        </w:tc>
      </w:tr>
      <w:tr w:rsidR="000F0022" w:rsidRPr="00083B5D" w:rsidTr="000F0022">
        <w:tc>
          <w:tcPr>
            <w:tcW w:w="3681" w:type="dxa"/>
          </w:tcPr>
          <w:p w:rsidR="000F0022" w:rsidRPr="00083B5D" w:rsidRDefault="000F0022" w:rsidP="00CA0291">
            <w:pPr>
              <w:pStyle w:val="Default"/>
              <w:jc w:val="both"/>
              <w:rPr>
                <w:lang w:val="tr-TR"/>
              </w:rPr>
            </w:pPr>
            <w:r w:rsidRPr="00083B5D">
              <w:rPr>
                <w:lang w:val="tr-TR"/>
              </w:rPr>
              <w:t>Pembelajaran berterusan</w:t>
            </w:r>
          </w:p>
          <w:p w:rsidR="000F0022" w:rsidRPr="00083B5D" w:rsidRDefault="000F0022" w:rsidP="00CA0291">
            <w:pPr>
              <w:rPr>
                <w:rFonts w:ascii="Times New Roman" w:hAnsi="Times New Roman" w:cs="Times New Roman"/>
                <w:sz w:val="24"/>
                <w:szCs w:val="24"/>
              </w:rPr>
            </w:pPr>
          </w:p>
        </w:tc>
        <w:tc>
          <w:tcPr>
            <w:tcW w:w="4824" w:type="dxa"/>
          </w:tcPr>
          <w:p w:rsidR="000F0022" w:rsidRPr="00083B5D" w:rsidRDefault="000F0022" w:rsidP="00CA0291">
            <w:pPr>
              <w:rPr>
                <w:rFonts w:ascii="Times New Roman" w:hAnsi="Times New Roman" w:cs="Times New Roman"/>
                <w:sz w:val="24"/>
                <w:szCs w:val="24"/>
              </w:rPr>
            </w:pPr>
            <w:r w:rsidRPr="00083B5D">
              <w:rPr>
                <w:rFonts w:ascii="Times New Roman" w:hAnsi="Times New Roman" w:cs="Times New Roman"/>
                <w:sz w:val="24"/>
                <w:szCs w:val="24"/>
                <w:lang w:val="tr-TR"/>
              </w:rPr>
              <w:t>Belajar berniaga dari pengalaman sendiri, Belajar berniaga dari pengalaman orang lain</w:t>
            </w:r>
          </w:p>
        </w:tc>
      </w:tr>
      <w:tr w:rsidR="000F0022" w:rsidRPr="00083B5D" w:rsidTr="000F0022">
        <w:tc>
          <w:tcPr>
            <w:tcW w:w="3681" w:type="dxa"/>
          </w:tcPr>
          <w:p w:rsidR="000F0022" w:rsidRPr="00083B5D" w:rsidRDefault="000F0022" w:rsidP="00CA0291">
            <w:pPr>
              <w:pStyle w:val="Default"/>
              <w:jc w:val="both"/>
              <w:rPr>
                <w:lang w:val="tr-TR"/>
              </w:rPr>
            </w:pPr>
            <w:r w:rsidRPr="00083B5D">
              <w:rPr>
                <w:lang w:val="tr-TR"/>
              </w:rPr>
              <w:t xml:space="preserve">Mempunyai Prosedur Operasi Standard </w:t>
            </w:r>
            <w:r w:rsidRPr="00083B5D">
              <w:rPr>
                <w:i/>
                <w:lang w:val="tr-TR"/>
              </w:rPr>
              <w:t>(SOP)</w:t>
            </w:r>
          </w:p>
        </w:tc>
        <w:tc>
          <w:tcPr>
            <w:tcW w:w="4824" w:type="dxa"/>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lang w:val="tr-TR"/>
              </w:rPr>
              <w:t>Mempunyai jadual harian perniagaan</w:t>
            </w:r>
          </w:p>
          <w:p w:rsidR="000F0022" w:rsidRPr="00083B5D" w:rsidRDefault="000F0022" w:rsidP="00CA0291">
            <w:pPr>
              <w:rPr>
                <w:rFonts w:ascii="Times New Roman" w:hAnsi="Times New Roman" w:cs="Times New Roman"/>
                <w:sz w:val="24"/>
                <w:szCs w:val="24"/>
              </w:rPr>
            </w:pPr>
            <w:r w:rsidRPr="00083B5D">
              <w:rPr>
                <w:rFonts w:ascii="Times New Roman" w:hAnsi="Times New Roman" w:cs="Times New Roman"/>
                <w:sz w:val="24"/>
                <w:szCs w:val="24"/>
                <w:lang w:val="tr-TR"/>
              </w:rPr>
              <w:t>Mempunyai kod etika perniagaan</w:t>
            </w:r>
          </w:p>
        </w:tc>
      </w:tr>
      <w:tr w:rsidR="000F0022" w:rsidRPr="00083B5D" w:rsidTr="000F0022">
        <w:tc>
          <w:tcPr>
            <w:tcW w:w="8505" w:type="dxa"/>
            <w:gridSpan w:val="2"/>
            <w:shd w:val="clear" w:color="auto" w:fill="D9D9D9" w:themeFill="background1" w:themeFillShade="D9"/>
          </w:tcPr>
          <w:p w:rsidR="000F0022" w:rsidRPr="00083B5D" w:rsidRDefault="000F0022" w:rsidP="00CA0291">
            <w:pPr>
              <w:jc w:val="center"/>
              <w:rPr>
                <w:rFonts w:ascii="Times New Roman" w:hAnsi="Times New Roman" w:cs="Times New Roman"/>
                <w:b/>
                <w:sz w:val="24"/>
                <w:szCs w:val="24"/>
                <w:lang w:val="tr-TR"/>
              </w:rPr>
            </w:pPr>
            <w:r w:rsidRPr="00083B5D">
              <w:rPr>
                <w:rFonts w:ascii="Times New Roman" w:hAnsi="Times New Roman" w:cs="Times New Roman"/>
                <w:b/>
                <w:sz w:val="24"/>
                <w:szCs w:val="24"/>
                <w:lang w:val="tr-TR"/>
              </w:rPr>
              <w:t>Tema 2 Cara Hidup Mapan</w:t>
            </w:r>
          </w:p>
        </w:tc>
      </w:tr>
      <w:tr w:rsidR="000F0022" w:rsidRPr="00083B5D" w:rsidTr="000F0022">
        <w:tc>
          <w:tcPr>
            <w:tcW w:w="3681" w:type="dxa"/>
          </w:tcPr>
          <w:p w:rsidR="000F0022" w:rsidRPr="00083B5D" w:rsidRDefault="000F0022" w:rsidP="00CA0291">
            <w:pPr>
              <w:pStyle w:val="Default"/>
              <w:jc w:val="both"/>
              <w:rPr>
                <w:lang w:val="tr-TR"/>
              </w:rPr>
            </w:pPr>
            <w:r w:rsidRPr="00083B5D">
              <w:rPr>
                <w:lang w:val="tr-TR"/>
              </w:rPr>
              <w:t>Mengamalkan gaya hidup Islam</w:t>
            </w:r>
          </w:p>
        </w:tc>
        <w:tc>
          <w:tcPr>
            <w:tcW w:w="4824" w:type="dxa"/>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lang w:val="tr-TR"/>
              </w:rPr>
              <w:t>Gaya hidup sederhana; Mengamalkan ajaran Islam</w:t>
            </w:r>
          </w:p>
        </w:tc>
      </w:tr>
      <w:tr w:rsidR="000F0022" w:rsidRPr="00083B5D" w:rsidTr="000F0022">
        <w:tc>
          <w:tcPr>
            <w:tcW w:w="3681" w:type="dxa"/>
          </w:tcPr>
          <w:p w:rsidR="000F0022" w:rsidRPr="00083B5D" w:rsidRDefault="000F0022" w:rsidP="00CA0291">
            <w:pPr>
              <w:pStyle w:val="Default"/>
              <w:jc w:val="both"/>
              <w:rPr>
                <w:lang w:val="tr-TR"/>
              </w:rPr>
            </w:pPr>
            <w:r w:rsidRPr="00083B5D">
              <w:rPr>
                <w:lang w:val="tr-TR"/>
              </w:rPr>
              <w:t>Kesedaran untuk berdikari</w:t>
            </w:r>
          </w:p>
        </w:tc>
        <w:tc>
          <w:tcPr>
            <w:tcW w:w="4824" w:type="dxa"/>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lang w:val="tr-TR"/>
              </w:rPr>
              <w:t>Ingin bebas dari bergantung dengan bantuan</w:t>
            </w:r>
          </w:p>
        </w:tc>
      </w:tr>
      <w:tr w:rsidR="000F0022" w:rsidRPr="00083B5D" w:rsidTr="000F0022">
        <w:tc>
          <w:tcPr>
            <w:tcW w:w="3681" w:type="dxa"/>
          </w:tcPr>
          <w:p w:rsidR="000F0022" w:rsidRPr="00083B5D" w:rsidRDefault="000F0022" w:rsidP="00CA0291">
            <w:pPr>
              <w:pStyle w:val="Default"/>
              <w:jc w:val="both"/>
              <w:rPr>
                <w:lang w:val="tr-TR"/>
              </w:rPr>
            </w:pPr>
            <w:r w:rsidRPr="00083B5D">
              <w:rPr>
                <w:lang w:val="tr-TR"/>
              </w:rPr>
              <w:t>Beramal sambil berniaga</w:t>
            </w:r>
          </w:p>
        </w:tc>
        <w:tc>
          <w:tcPr>
            <w:tcW w:w="4824" w:type="dxa"/>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lang w:val="tr-TR"/>
              </w:rPr>
              <w:t>Biar untung sedikit tetapi berterusan; Banyak bersedekah sambil berniaga</w:t>
            </w:r>
          </w:p>
        </w:tc>
      </w:tr>
      <w:tr w:rsidR="000F0022" w:rsidRPr="00083B5D" w:rsidTr="000F0022">
        <w:tc>
          <w:tcPr>
            <w:tcW w:w="3681" w:type="dxa"/>
          </w:tcPr>
          <w:p w:rsidR="000F0022" w:rsidRPr="00083B5D" w:rsidRDefault="000F0022" w:rsidP="00CA0291">
            <w:pPr>
              <w:pStyle w:val="Default"/>
              <w:jc w:val="both"/>
              <w:rPr>
                <w:lang w:val="tr-TR"/>
              </w:rPr>
            </w:pPr>
            <w:r w:rsidRPr="00083B5D">
              <w:rPr>
                <w:lang w:val="tr-TR"/>
              </w:rPr>
              <w:t>Berkemampuan menyara kehidupan sekarang dan masa depan</w:t>
            </w:r>
          </w:p>
        </w:tc>
        <w:tc>
          <w:tcPr>
            <w:tcW w:w="4824" w:type="dxa"/>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lang w:val="tr-TR"/>
              </w:rPr>
              <w:t>Mampu meningkatkan pendapatan</w:t>
            </w:r>
          </w:p>
        </w:tc>
      </w:tr>
      <w:tr w:rsidR="000F0022" w:rsidRPr="00083B5D" w:rsidTr="000F0022">
        <w:tc>
          <w:tcPr>
            <w:tcW w:w="8505" w:type="dxa"/>
            <w:gridSpan w:val="2"/>
            <w:shd w:val="clear" w:color="auto" w:fill="D9D9D9" w:themeFill="background1" w:themeFillShade="D9"/>
          </w:tcPr>
          <w:p w:rsidR="000F0022" w:rsidRPr="00083B5D" w:rsidRDefault="000F0022" w:rsidP="00CA0291">
            <w:pPr>
              <w:jc w:val="center"/>
              <w:rPr>
                <w:rFonts w:ascii="Times New Roman" w:hAnsi="Times New Roman" w:cs="Times New Roman"/>
                <w:b/>
                <w:sz w:val="24"/>
                <w:szCs w:val="24"/>
                <w:lang w:val="tr-TR"/>
              </w:rPr>
            </w:pPr>
            <w:r w:rsidRPr="00083B5D">
              <w:rPr>
                <w:rFonts w:ascii="Times New Roman" w:hAnsi="Times New Roman" w:cs="Times New Roman"/>
                <w:b/>
                <w:sz w:val="24"/>
                <w:szCs w:val="24"/>
                <w:lang w:val="tr-TR"/>
              </w:rPr>
              <w:t xml:space="preserve">Tema 3 </w:t>
            </w:r>
            <w:r>
              <w:rPr>
                <w:rFonts w:ascii="Times New Roman" w:hAnsi="Times New Roman" w:cs="Times New Roman"/>
                <w:b/>
                <w:sz w:val="24"/>
                <w:szCs w:val="24"/>
                <w:lang w:val="tr-TR"/>
              </w:rPr>
              <w:t>Keperibadian Keu</w:t>
            </w:r>
            <w:r w:rsidRPr="00083B5D">
              <w:rPr>
                <w:rFonts w:ascii="Times New Roman" w:hAnsi="Times New Roman" w:cs="Times New Roman"/>
                <w:b/>
                <w:sz w:val="24"/>
                <w:szCs w:val="24"/>
                <w:lang w:val="tr-TR"/>
              </w:rPr>
              <w:t>sahawan</w:t>
            </w:r>
            <w:r>
              <w:rPr>
                <w:rFonts w:ascii="Times New Roman" w:hAnsi="Times New Roman" w:cs="Times New Roman"/>
                <w:b/>
                <w:sz w:val="24"/>
                <w:szCs w:val="24"/>
                <w:lang w:val="tr-TR"/>
              </w:rPr>
              <w:t>an</w:t>
            </w:r>
          </w:p>
        </w:tc>
      </w:tr>
      <w:tr w:rsidR="000F0022" w:rsidRPr="00083B5D" w:rsidTr="000F0022">
        <w:tc>
          <w:tcPr>
            <w:tcW w:w="3681" w:type="dxa"/>
          </w:tcPr>
          <w:p w:rsidR="000F0022" w:rsidRPr="00083B5D" w:rsidRDefault="000F0022" w:rsidP="00CA0291">
            <w:pPr>
              <w:pStyle w:val="Default"/>
              <w:jc w:val="both"/>
              <w:rPr>
                <w:lang w:val="tr-TR"/>
              </w:rPr>
            </w:pPr>
            <w:r>
              <w:rPr>
                <w:lang w:val="tr-TR"/>
              </w:rPr>
              <w:t>D</w:t>
            </w:r>
            <w:r w:rsidRPr="00083B5D">
              <w:rPr>
                <w:lang w:val="tr-TR"/>
              </w:rPr>
              <w:t>evian positif</w:t>
            </w:r>
          </w:p>
        </w:tc>
        <w:tc>
          <w:tcPr>
            <w:tcW w:w="4824" w:type="dxa"/>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lang w:val="tr-TR"/>
              </w:rPr>
              <w:t>Sikap yang berbeza dari norma  penerima bantuan lain</w:t>
            </w:r>
          </w:p>
        </w:tc>
      </w:tr>
      <w:tr w:rsidR="000F0022" w:rsidRPr="00083B5D" w:rsidTr="000F0022">
        <w:tc>
          <w:tcPr>
            <w:tcW w:w="3681" w:type="dxa"/>
          </w:tcPr>
          <w:p w:rsidR="000F0022" w:rsidRPr="00083B5D" w:rsidRDefault="000F0022" w:rsidP="00CA0291">
            <w:pPr>
              <w:pStyle w:val="Default"/>
              <w:jc w:val="both"/>
              <w:rPr>
                <w:lang w:val="tr-TR"/>
              </w:rPr>
            </w:pPr>
            <w:r w:rsidRPr="00083B5D">
              <w:rPr>
                <w:lang w:val="tr-TR"/>
              </w:rPr>
              <w:t>Bermotivasi tinggi</w:t>
            </w:r>
          </w:p>
        </w:tc>
        <w:tc>
          <w:tcPr>
            <w:tcW w:w="4824" w:type="dxa"/>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lang w:val="tr-TR"/>
              </w:rPr>
              <w:t>Mempunyai impian</w:t>
            </w:r>
          </w:p>
        </w:tc>
      </w:tr>
      <w:tr w:rsidR="000F0022" w:rsidRPr="00083B5D" w:rsidTr="000F0022">
        <w:tc>
          <w:tcPr>
            <w:tcW w:w="3681" w:type="dxa"/>
          </w:tcPr>
          <w:p w:rsidR="000F0022" w:rsidRPr="00083B5D" w:rsidRDefault="000F0022" w:rsidP="00CA0291">
            <w:pPr>
              <w:pStyle w:val="Default"/>
              <w:jc w:val="both"/>
              <w:rPr>
                <w:lang w:val="tr-TR"/>
              </w:rPr>
            </w:pPr>
            <w:r w:rsidRPr="00083B5D">
              <w:rPr>
                <w:lang w:val="tr-TR"/>
              </w:rPr>
              <w:t>Berjiwa kebajikan</w:t>
            </w:r>
          </w:p>
        </w:tc>
        <w:tc>
          <w:tcPr>
            <w:tcW w:w="4824" w:type="dxa"/>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lang w:val="tr-TR"/>
              </w:rPr>
              <w:t>Keinginan menyumbang kepada masyarakat</w:t>
            </w:r>
          </w:p>
        </w:tc>
      </w:tr>
      <w:tr w:rsidR="000F0022" w:rsidRPr="00083B5D" w:rsidTr="000F0022">
        <w:tc>
          <w:tcPr>
            <w:tcW w:w="3681" w:type="dxa"/>
          </w:tcPr>
          <w:p w:rsidR="000F0022" w:rsidRPr="00083B5D" w:rsidRDefault="000F0022" w:rsidP="00CA0291">
            <w:pPr>
              <w:pStyle w:val="Default"/>
              <w:jc w:val="both"/>
              <w:rPr>
                <w:lang w:val="tr-TR"/>
              </w:rPr>
            </w:pPr>
            <w:r>
              <w:rPr>
                <w:lang w:val="tr-TR"/>
              </w:rPr>
              <w:t>Berkongsi ilmu keusahawanan</w:t>
            </w:r>
          </w:p>
        </w:tc>
        <w:tc>
          <w:tcPr>
            <w:tcW w:w="4824" w:type="dxa"/>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rPr>
              <w:t xml:space="preserve">Mencipta pekerjaan untuk ahli keluarga dan kejiranan; </w:t>
            </w:r>
            <w:r w:rsidRPr="00083B5D">
              <w:rPr>
                <w:rFonts w:ascii="Times New Roman" w:hAnsi="Times New Roman" w:cs="Times New Roman"/>
                <w:sz w:val="24"/>
                <w:szCs w:val="24"/>
                <w:lang w:val="tr-TR"/>
              </w:rPr>
              <w:t>Didik anak berniaga dari kecil</w:t>
            </w:r>
          </w:p>
        </w:tc>
      </w:tr>
      <w:tr w:rsidR="000F0022" w:rsidRPr="00083B5D" w:rsidTr="000F0022">
        <w:tc>
          <w:tcPr>
            <w:tcW w:w="8505" w:type="dxa"/>
            <w:gridSpan w:val="2"/>
            <w:shd w:val="clear" w:color="auto" w:fill="D9D9D9" w:themeFill="background1" w:themeFillShade="D9"/>
          </w:tcPr>
          <w:p w:rsidR="000F0022" w:rsidRPr="00083B5D" w:rsidRDefault="000F0022" w:rsidP="00CA0291">
            <w:pPr>
              <w:jc w:val="center"/>
              <w:rPr>
                <w:rFonts w:ascii="Times New Roman" w:hAnsi="Times New Roman" w:cs="Times New Roman"/>
                <w:b/>
                <w:sz w:val="24"/>
                <w:szCs w:val="24"/>
                <w:lang w:val="tr-TR"/>
              </w:rPr>
            </w:pPr>
            <w:r w:rsidRPr="00083B5D">
              <w:rPr>
                <w:rFonts w:ascii="Times New Roman" w:hAnsi="Times New Roman" w:cs="Times New Roman"/>
                <w:b/>
                <w:sz w:val="24"/>
                <w:szCs w:val="24"/>
                <w:lang w:val="tr-TR"/>
              </w:rPr>
              <w:t>Tema 4 M</w:t>
            </w:r>
            <w:r>
              <w:rPr>
                <w:rFonts w:ascii="Times New Roman" w:hAnsi="Times New Roman" w:cs="Times New Roman"/>
                <w:b/>
                <w:sz w:val="24"/>
                <w:szCs w:val="24"/>
                <w:lang w:val="tr-TR"/>
              </w:rPr>
              <w:t>enggunakan M</w:t>
            </w:r>
            <w:r w:rsidRPr="00083B5D">
              <w:rPr>
                <w:rFonts w:ascii="Times New Roman" w:hAnsi="Times New Roman" w:cs="Times New Roman"/>
                <w:b/>
                <w:sz w:val="24"/>
                <w:szCs w:val="24"/>
                <w:lang w:val="tr-TR"/>
              </w:rPr>
              <w:t>odal Sosial</w:t>
            </w:r>
          </w:p>
        </w:tc>
      </w:tr>
      <w:tr w:rsidR="000F0022" w:rsidRPr="00083B5D" w:rsidTr="000F0022">
        <w:tc>
          <w:tcPr>
            <w:tcW w:w="3681" w:type="dxa"/>
          </w:tcPr>
          <w:p w:rsidR="000F0022" w:rsidRPr="00083B5D" w:rsidRDefault="000F0022" w:rsidP="00CA0291">
            <w:pPr>
              <w:pStyle w:val="Default"/>
              <w:jc w:val="both"/>
              <w:rPr>
                <w:lang w:val="tr-TR"/>
              </w:rPr>
            </w:pPr>
            <w:r w:rsidRPr="00083B5D">
              <w:rPr>
                <w:lang w:val="tr-TR"/>
              </w:rPr>
              <w:t>Mengukuhkan kerjasama dengan pelbagai pihak</w:t>
            </w:r>
          </w:p>
        </w:tc>
        <w:tc>
          <w:tcPr>
            <w:tcW w:w="4824" w:type="dxa"/>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lang w:val="tr-TR"/>
              </w:rPr>
              <w:t>Hubungan rapat dengan JKM, ahli keluarga, pekerja dan masyarakat</w:t>
            </w:r>
          </w:p>
        </w:tc>
      </w:tr>
      <w:tr w:rsidR="000F0022" w:rsidRPr="00083B5D" w:rsidTr="000F0022">
        <w:tc>
          <w:tcPr>
            <w:tcW w:w="3681" w:type="dxa"/>
          </w:tcPr>
          <w:p w:rsidR="000F0022" w:rsidRPr="00083B5D" w:rsidRDefault="000F0022" w:rsidP="00CA0291">
            <w:pPr>
              <w:pStyle w:val="Default"/>
              <w:jc w:val="both"/>
              <w:rPr>
                <w:lang w:val="tr-TR"/>
              </w:rPr>
            </w:pPr>
            <w:r w:rsidRPr="00083B5D">
              <w:rPr>
                <w:lang w:val="tr-TR"/>
              </w:rPr>
              <w:t>Penglibatan dalam aktiviti sosial dan kebajikan</w:t>
            </w:r>
          </w:p>
        </w:tc>
        <w:tc>
          <w:tcPr>
            <w:tcW w:w="4824" w:type="dxa"/>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lang w:val="tr-TR"/>
              </w:rPr>
              <w:t>Sukarelawan kerja kebajikan</w:t>
            </w:r>
          </w:p>
        </w:tc>
      </w:tr>
      <w:tr w:rsidR="000F0022" w:rsidRPr="00083B5D" w:rsidTr="000F0022">
        <w:tc>
          <w:tcPr>
            <w:tcW w:w="3681" w:type="dxa"/>
            <w:tcBorders>
              <w:bottom w:val="single" w:sz="4" w:space="0" w:color="auto"/>
            </w:tcBorders>
          </w:tcPr>
          <w:p w:rsidR="000F0022" w:rsidRPr="00083B5D" w:rsidRDefault="000F0022" w:rsidP="00CA0291">
            <w:pPr>
              <w:pStyle w:val="Default"/>
              <w:jc w:val="both"/>
              <w:rPr>
                <w:lang w:val="tr-TR"/>
              </w:rPr>
            </w:pPr>
            <w:r w:rsidRPr="00083B5D">
              <w:rPr>
                <w:lang w:val="tr-TR"/>
              </w:rPr>
              <w:t>Mengukuhkan jaringan usahawan</w:t>
            </w:r>
          </w:p>
        </w:tc>
        <w:tc>
          <w:tcPr>
            <w:tcW w:w="4824" w:type="dxa"/>
            <w:tcBorders>
              <w:bottom w:val="single" w:sz="4" w:space="0" w:color="auto"/>
            </w:tcBorders>
          </w:tcPr>
          <w:p w:rsidR="000F0022" w:rsidRPr="00083B5D" w:rsidRDefault="000F0022" w:rsidP="00CA0291">
            <w:pPr>
              <w:rPr>
                <w:rFonts w:ascii="Times New Roman" w:hAnsi="Times New Roman" w:cs="Times New Roman"/>
                <w:sz w:val="24"/>
                <w:szCs w:val="24"/>
                <w:lang w:val="tr-TR"/>
              </w:rPr>
            </w:pPr>
            <w:r w:rsidRPr="00083B5D">
              <w:rPr>
                <w:rFonts w:ascii="Times New Roman" w:hAnsi="Times New Roman" w:cs="Times New Roman"/>
                <w:sz w:val="24"/>
                <w:szCs w:val="24"/>
                <w:lang w:val="tr-TR"/>
              </w:rPr>
              <w:t>Jaringan keusahawanan yang luas; Jaringan perniagaan dalam talian dan luar talian</w:t>
            </w:r>
          </w:p>
        </w:tc>
      </w:tr>
    </w:tbl>
    <w:p w:rsidR="000F0022" w:rsidRPr="003A7F7A" w:rsidRDefault="000F0022" w:rsidP="000F0022">
      <w:pPr>
        <w:pStyle w:val="Default"/>
        <w:ind w:left="720"/>
        <w:jc w:val="both"/>
        <w:rPr>
          <w:lang w:val="tr-TR"/>
        </w:rPr>
      </w:pPr>
    </w:p>
    <w:p w:rsidR="000F0022" w:rsidRPr="003A7F7A" w:rsidRDefault="000F0022" w:rsidP="00B84741">
      <w:pPr>
        <w:pStyle w:val="Default"/>
        <w:spacing w:line="276" w:lineRule="auto"/>
        <w:ind w:firstLine="720"/>
        <w:jc w:val="both"/>
        <w:rPr>
          <w:lang w:val="tr-TR"/>
        </w:rPr>
      </w:pPr>
      <w:r>
        <w:t>Ciri-ciri</w:t>
      </w:r>
      <w:r w:rsidRPr="003A7F7A">
        <w:t xml:space="preserve"> luar</w:t>
      </w:r>
      <w:r>
        <w:t xml:space="preserve"> </w:t>
      </w:r>
      <w:r w:rsidRPr="003A7F7A">
        <w:t xml:space="preserve">biasa usahawan bimbingan Program 2YEP yang berjaya di Negeri Sembilan didapati memainkan peranan utama dalam kejayaan </w:t>
      </w:r>
      <w:r>
        <w:t xml:space="preserve">memperkasakan diri </w:t>
      </w:r>
      <w:r w:rsidRPr="003A7F7A">
        <w:t>mereka</w:t>
      </w:r>
      <w:r>
        <w:t>.  C</w:t>
      </w:r>
      <w:r w:rsidRPr="003A7F7A">
        <w:t>iri</w:t>
      </w:r>
      <w:r>
        <w:t>-ciri</w:t>
      </w:r>
      <w:r w:rsidRPr="003A7F7A">
        <w:t xml:space="preserve"> tersebut paling sesuai diterangkan melalui konsep Devian Positif oleh </w:t>
      </w:r>
      <w:r w:rsidR="005A4273" w:rsidRPr="003A7F7A">
        <w:rPr>
          <w:i/>
          <w:lang w:val="tr-TR"/>
        </w:rPr>
        <w:lastRenderedPageBreak/>
        <w:fldChar w:fldCharType="begin" w:fldLock="1"/>
      </w:r>
      <w:r w:rsidR="00D05F39">
        <w:rPr>
          <w:i/>
          <w:lang w:val="tr-TR"/>
        </w:rPr>
        <w:instrText>ADDIN CSL_CITATION {"citationItems":[{"id":"ITEM-1","itemData":{"author":[{"dropping-particle":"","family":"Hoffman","given":"Andrew J.","non-dropping-particle":"","parse-names":false,"suffix":""},{"dropping-particle":"","family":"Haigh","given":"Nardia","non-dropping-particle":"","parse-names":false,"suffix":""}],"chapter-number":"72","container-title":"The Oxford Handbook of Positive Organizational Scholarship","editor":[{"dropping-particle":"","family":"Cameron","given":"Kim S.","non-dropping-particle":"","parse-names":false,"suffix":""},{"dropping-particle":"","family":"Spreitzer","given":"Gretchen M.","non-dropping-particle":"","parse-names":false,"suffix":""}],"id":"ITEM-1","issued":{"date-parts":[["2011"]]},"note":"these individuals bring energy, creativity, and vitality to the organization and spiritual satisfaction for themselves. by thinking differently than the organizational norm, these positive deviants can also be critics of the status quo; identifying opportunities for change that may be overlooked by others.\n(page 958)\n\nindividu-individu ini membawa tenaga, kreativiti, dan daya hidup kepada organisasi dan kepuasan rohani untuk diri mereka sendiri. dengan berfikir secara berbeza daripada norma organisasi, penyimpang positif ini juga boleh menjadi pengkritik status quo; mengenal pasti peluang untuk perubahan yang mungkin diabaikan oleh orang lain.","page":"953-964","publisher":"Oxford University Press","publisher-place":"New York, USA","title":"Positive Deviance for a Sustainable World: Linking Sustainability and Positive Organizational Scholarship","type":"chapter"},"uris":["http://www.mendeley.com/documents/?uuid=3365ad09-9b51-479d-93ee-c575c14d4b72"]}],"mendeley":{"formattedCitation":"(Hoffman and Haigh, 2011)","manualFormatting":"Hoffman &amp; Haigh (2011)","plainTextFormattedCitation":"(Hoffman and Haigh, 2011)","previouslyFormattedCitation":"(Hoffman and Haigh, 2011)"},"properties":{"noteIndex":0},"schema":"https://github.com/citation-style-language/schema/raw/master/csl-citation.json"}</w:instrText>
      </w:r>
      <w:r w:rsidR="005A4273" w:rsidRPr="003A7F7A">
        <w:rPr>
          <w:i/>
          <w:lang w:val="tr-TR"/>
        </w:rPr>
        <w:fldChar w:fldCharType="separate"/>
      </w:r>
      <w:r w:rsidRPr="003A7F7A">
        <w:rPr>
          <w:noProof/>
          <w:lang w:val="tr-TR"/>
        </w:rPr>
        <w:t>Hoffman &amp; Haigh (2011)</w:t>
      </w:r>
      <w:r w:rsidR="005A4273" w:rsidRPr="003A7F7A">
        <w:rPr>
          <w:i/>
          <w:lang w:val="tr-TR"/>
        </w:rPr>
        <w:fldChar w:fldCharType="end"/>
      </w:r>
      <w:r>
        <w:rPr>
          <w:i/>
          <w:lang w:val="tr-TR"/>
        </w:rPr>
        <w:t xml:space="preserve"> </w:t>
      </w:r>
      <w:r>
        <w:rPr>
          <w:lang w:val="tr-TR"/>
        </w:rPr>
        <w:t xml:space="preserve">iaitu </w:t>
      </w:r>
      <w:r>
        <w:t xml:space="preserve">individu-individu yang membawa tenaga, kreativiti, dan semangat kepada organisasi dan kepuasan rohani untuk diri mereka sendiri dengan berfikir secara berbeza daripada norma organisasi, penyimpang positif ini juga boleh menjadi pengkritik status quo; mengenal pasti peluang untuk perubahan yang mungkin diabaikan oleh orang lain.  </w:t>
      </w:r>
      <w:r>
        <w:rPr>
          <w:lang w:val="tr-TR"/>
        </w:rPr>
        <w:t>Oleh itu, untuk menjawab persoalan kajian bagaimana</w:t>
      </w:r>
      <w:r w:rsidRPr="003A7F7A">
        <w:rPr>
          <w:lang w:val="tr-TR"/>
        </w:rPr>
        <w:t xml:space="preserve"> </w:t>
      </w:r>
      <w:r>
        <w:rPr>
          <w:bCs/>
          <w:color w:val="auto"/>
        </w:rPr>
        <w:t>usahawan bimbingan Program 2YEP mencapai keusahawanan jangka panjang yang mampan</w:t>
      </w:r>
      <w:r>
        <w:rPr>
          <w:lang w:val="tr-TR"/>
        </w:rPr>
        <w:t xml:space="preserve"> d</w:t>
      </w:r>
      <w:r w:rsidRPr="003A7F7A">
        <w:rPr>
          <w:lang w:val="tr-TR"/>
        </w:rPr>
        <w:t xml:space="preserve">aripada perspektif peserta kajian, pengkaji mengkelaskan setiap tema dan </w:t>
      </w:r>
      <w:r>
        <w:rPr>
          <w:lang w:val="tr-TR"/>
        </w:rPr>
        <w:t>sub-</w:t>
      </w:r>
      <w:r w:rsidRPr="003A7F7A">
        <w:rPr>
          <w:lang w:val="tr-TR"/>
        </w:rPr>
        <w:t xml:space="preserve">tema yang </w:t>
      </w:r>
      <w:r>
        <w:rPr>
          <w:lang w:val="tr-TR"/>
        </w:rPr>
        <w:t xml:space="preserve">dihasilkan daripada kod bebas awalan melalui transkrip temu bual, pemerhatian dan analisis dokumen.  </w:t>
      </w:r>
      <w:r w:rsidRPr="0059448C">
        <w:rPr>
          <w:lang w:val="tr-TR"/>
        </w:rPr>
        <w:t>Tema yang dibentuk adalah berdasarkan kumpulan kategori yang berkaitan dengan sub-sub tema yang menghuraikan bagaimana usahawan bimbingan 2YEP berjaya memperkasakan diri mereka dengan menggunakan kepelbagaian sumber, keupayaan dan agensi yang ada (</w:t>
      </w:r>
      <w:r w:rsidR="005A4273" w:rsidRPr="003A7F7A">
        <w:rPr>
          <w:lang w:val="tr-TR"/>
        </w:rPr>
        <w:fldChar w:fldCharType="begin" w:fldLock="1"/>
      </w:r>
      <w:r>
        <w:rPr>
          <w:lang w:val="tr-TR"/>
        </w:rPr>
        <w:instrText>ADDIN CSL_CITATION {"citationItems":[{"id":"ITEM-1","itemData":{"DOI":"https://doi.org/10.1111/1467-7660.00125","abstract":"ABSTRACT This paper begins from the understanding that women's empowerment is about the process by which those who have been denied the ability to make strategic life choices acquire such an ability. Awide gap separates this processual under- standing of empowerment from the more instrumentalist forms of advocacy which have required the measurement and quanti®cation ofempowerment. The ability to exercise choice incorporates three inter-related dimensions: resources (de®ned broadly to include not only access, but also future claims, to both material and human and social resources); agency (including processes of decision making, as well as less measurable manifestations of agency such as negotiation, deception and manipulation); and achievements (well-being outcomes). A number of studies of women's empowerment are analysed to make some important methodological points about the measurement of empowerment. The paper argues that these three dimensions of choice are indivisible in determining the meaning ofan indicator and hence its validity as a measure ofempowerment. The notion ofchoice is further quali®ed by referring to the conditions of choice, its content and consequences. These quali®cations represent an attempt to incorporate the structural parameters of individual choice in the analysis of women's empowerment.","author":[{"dropping-particle":"","family":"Kabeer","given":"Naila","non-dropping-particle":"","parse-names":false,"suffix":""}],"container-title":"Development and Change","id":"ITEM-1","issue":"May","issued":{"date-parts":[["1999"]]},"page":"435-464","title":"Resources , Agency , Achievements : Reflections on the Measurement of Women's Empowerment","type":"article-journal","volume":"30"},"uris":["http://www.mendeley.com/documents/?uuid=1c427390-7d34-49df-a81a-52c4e036eb3d"]}],"mendeley":{"formattedCitation":"(Kabeer, 1999)","manualFormatting":"Kabeer,1999)","plainTextFormattedCitation":"(Kabeer, 1999)","previouslyFormattedCitation":"(Kabeer, 1999)"},"properties":{"noteIndex":0},"schema":"https://github.com/citation-style-language/schema/raw/master/csl-citation.json"}</w:instrText>
      </w:r>
      <w:r w:rsidR="005A4273" w:rsidRPr="003A7F7A">
        <w:rPr>
          <w:lang w:val="tr-TR"/>
        </w:rPr>
        <w:fldChar w:fldCharType="separate"/>
      </w:r>
      <w:r w:rsidRPr="003A7F7A">
        <w:rPr>
          <w:noProof/>
          <w:lang w:val="tr-TR"/>
        </w:rPr>
        <w:t>Kabeer</w:t>
      </w:r>
      <w:r>
        <w:rPr>
          <w:noProof/>
          <w:lang w:val="tr-TR"/>
        </w:rPr>
        <w:t>,</w:t>
      </w:r>
      <w:r w:rsidRPr="003A7F7A">
        <w:rPr>
          <w:noProof/>
          <w:lang w:val="tr-TR"/>
        </w:rPr>
        <w:t>1999)</w:t>
      </w:r>
      <w:r w:rsidR="005A4273" w:rsidRPr="003A7F7A">
        <w:rPr>
          <w:lang w:val="tr-TR"/>
        </w:rPr>
        <w:fldChar w:fldCharType="end"/>
      </w:r>
      <w:r w:rsidRPr="003A7F7A">
        <w:rPr>
          <w:lang w:val="tr-TR"/>
        </w:rPr>
        <w:t xml:space="preserve"> </w:t>
      </w:r>
      <w:r>
        <w:rPr>
          <w:lang w:val="tr-TR"/>
        </w:rPr>
        <w:t>untuk mencapai keusahawanan yang mampan.</w:t>
      </w:r>
    </w:p>
    <w:p w:rsidR="00F6369B" w:rsidRPr="000F0022" w:rsidRDefault="008C476F" w:rsidP="00B84741">
      <w:pPr>
        <w:spacing w:line="516" w:lineRule="auto"/>
        <w:jc w:val="left"/>
        <w:rPr>
          <w:rFonts w:ascii="Times New Roman" w:hAnsi="Times New Roman" w:cs="Times New Roman"/>
        </w:rPr>
      </w:pPr>
      <w:bookmarkStart w:id="1" w:name="_GoBack"/>
      <w:bookmarkEnd w:id="1"/>
      <w:r w:rsidRPr="000F0022">
        <w:rPr>
          <w:rFonts w:ascii="Times New Roman" w:hAnsi="Times New Roman" w:cs="Times New Roman"/>
        </w:rPr>
        <w:t xml:space="preserve"> </w:t>
      </w:r>
      <w:r w:rsidR="00057A96" w:rsidRPr="000F0022">
        <w:rPr>
          <w:rFonts w:ascii="Times New Roman" w:hAnsi="Times New Roman" w:cs="Times New Roman"/>
        </w:rPr>
        <w:t xml:space="preserve"> </w:t>
      </w:r>
    </w:p>
    <w:p w:rsidR="00453793" w:rsidRPr="00033015" w:rsidRDefault="0038748E" w:rsidP="00F875E5">
      <w:pPr>
        <w:pStyle w:val="ListParagraph"/>
        <w:numPr>
          <w:ilvl w:val="0"/>
          <w:numId w:val="1"/>
        </w:numPr>
        <w:spacing w:line="240" w:lineRule="auto"/>
        <w:ind w:left="284" w:hanging="284"/>
        <w:rPr>
          <w:rFonts w:ascii="Times New Roman" w:hAnsi="Times New Roman" w:cs="Times New Roman"/>
          <w:b/>
        </w:rPr>
      </w:pPr>
      <w:r w:rsidRPr="00033015">
        <w:rPr>
          <w:rFonts w:ascii="Times New Roman" w:hAnsi="Times New Roman" w:cs="Times New Roman"/>
          <w:b/>
          <w:lang w:val="id-ID"/>
        </w:rPr>
        <w:t>PENUTUP</w:t>
      </w:r>
    </w:p>
    <w:p w:rsidR="0000598D" w:rsidRDefault="000F0022" w:rsidP="00B84741">
      <w:pPr>
        <w:pStyle w:val="Default"/>
        <w:spacing w:line="276" w:lineRule="auto"/>
        <w:ind w:firstLine="720"/>
        <w:jc w:val="both"/>
        <w:rPr>
          <w:lang w:val="id-ID"/>
        </w:rPr>
      </w:pPr>
      <w:bookmarkStart w:id="2" w:name="_Hlk18931766"/>
      <w:r w:rsidRPr="000F0022">
        <w:rPr>
          <w:color w:val="auto"/>
          <w:lang w:val="tr-TR"/>
        </w:rPr>
        <w:t xml:space="preserve">Kesimpulan daripada dapatan </w:t>
      </w:r>
      <w:r w:rsidRPr="000F0022">
        <w:rPr>
          <w:lang w:val="tr-TR"/>
        </w:rPr>
        <w:t>k</w:t>
      </w:r>
      <w:r w:rsidRPr="000F0022">
        <w:t xml:space="preserve">ajian ini </w:t>
      </w:r>
      <w:bookmarkEnd w:id="2"/>
      <w:r w:rsidRPr="000F0022">
        <w:t xml:space="preserve">menunjukkan bahawa pemerkasaan golongan miskin dan terpinggir bukanlah sesuatu yang mustahil.  Namun begitu, kemahuan diri sendiri untuk berubah yang menentukan titik permulaan kejayaan.  Usahawan bimbingan 2YEP yang terlibat dalam kajian ini mempunyai ciri-ciri Devian Positif yang mana menurut </w:t>
      </w:r>
      <w:r w:rsidR="005A4273" w:rsidRPr="000F0022">
        <w:fldChar w:fldCharType="begin" w:fldLock="1"/>
      </w:r>
      <w:r w:rsidR="00D05F39">
        <w:instrText>ADDIN CSL_CITATION {"citationItems":[{"id":"ITEM-1","itemData":{"DOI":"10.1080/01639625.2017.1286194","ISSN":"0163-9625","author":[{"dropping-particle":"","family":"Herington","given":"Matthew J","non-dropping-particle":"","parse-names":false,"suffix":""},{"dropping-particle":"Van De","family":"Fliert","given":"Elske","non-dropping-particle":"","parse-names":false,"suffix":""}],"container-title":"Deviant Behavior","id":"ITEM-1","issue":"00","issued":{"date-parts":[["2017"]]},"note":"We propose three strategies for operationalizing a renewed research agenda in positive deviance.\nFirst, we suggest the development of problem or context-specific frameworks to support positive deviance research into existing and new social problems and domains. Second, the development of a core set of principles for the design and implementation of positive deviance in practice is encour- aged. Third, support for the theoretical case of positive deviance can be enhanced through the further study of empirical cases and observed social phenomena.\n\nfield guide developed by the team at PDI outlines ten basic principles for positive deviance in practice, including \n\n1. community and stakeholder ownership over the whole process, \n2. an emphasis on practice rather than knowledge, \n3. the leverage of existing and new social networks, and \n4. the collective involvement in intervention design, monitoring, and evaluation activities.","page":"1-15","publisher":"Routledge","title":"Positive Deviance in Theory and Practice : A Conceptual Review Positive Deviance in Theory and Practice : A Conceptual Review","type":"article-journal","volume":"00"},"uris":["http://www.mendeley.com/documents/?uuid=80b77131-fbe2-4b33-805f-e736ec84490a"]}],"mendeley":{"formattedCitation":"(Herington and Fliert, 2017)","manualFormatting":"Herington &amp; Fliert (2017)","plainTextFormattedCitation":"(Herington and Fliert, 2017)","previouslyFormattedCitation":"(Herington and Fliert, 2017)"},"properties":{"noteIndex":0},"schema":"https://github.com/citation-style-language/schema/raw/master/csl-citation.json"}</w:instrText>
      </w:r>
      <w:r w:rsidR="005A4273" w:rsidRPr="000F0022">
        <w:fldChar w:fldCharType="separate"/>
      </w:r>
      <w:r w:rsidRPr="000F0022">
        <w:rPr>
          <w:noProof/>
        </w:rPr>
        <w:t>Herington &amp; Fliert (2017)</w:t>
      </w:r>
      <w:r w:rsidR="005A4273" w:rsidRPr="000F0022">
        <w:fldChar w:fldCharType="end"/>
      </w:r>
      <w:r w:rsidRPr="000F0022">
        <w:t xml:space="preserve"> Devian Positif adalah "juara" perubahan yang berjaya menentang semua kemungkinan.  Manakala teori yang paling sesuai menerangkan proses pemerkasaan kumpulan usahawan bimbingan Program 2YEP ini adalah Teori Motivasi Pencapaian Keperluan oleh </w:t>
      </w:r>
      <w:r w:rsidR="005A4273" w:rsidRPr="000F0022">
        <w:fldChar w:fldCharType="begin" w:fldLock="1"/>
      </w:r>
      <w:r w:rsidRPr="000F0022">
        <w:instrText>ADDIN CSL_CITATION {"citationItems":[{"id":"ITEM-1","itemData":{"DOI":"10.2139/ssrn.1496181","ISBN":"0029205107","ISSN":"0040165X","PMID":"1694700","abstract":"This book provides a factual basis for evaluating economic, historical, and sociological theories that explain the rise and fall of civilizations.","author":[{"dropping-particle":"","family":"McClelland","given":"David C","non-dropping-particle":"","parse-names":false,"suffix":""}],"container-title":"University of Illinois at Urbana Champaigns Academy for Entrepreneurial Leadership Historical Research Reference in Entrepreneurship","id":"ITEM-1","issued":{"date-parts":[["1961"]]},"number-of-pages":"532","title":"The Achieving Society","type":"book"},"uris":["http://www.mendeley.com/documents/?uuid=bb2636da-7927-46df-b367-1eb88a926d59"]}],"mendeley":{"formattedCitation":"(McClelland, 1961)","manualFormatting":"McClelland (1961)","plainTextFormattedCitation":"(McClelland, 1961)","previouslyFormattedCitation":"(McClelland, 1961)"},"properties":{"noteIndex":0},"schema":"https://github.com/citation-style-language/schema/raw/master/csl-citation.json"}</w:instrText>
      </w:r>
      <w:r w:rsidR="005A4273" w:rsidRPr="000F0022">
        <w:fldChar w:fldCharType="separate"/>
      </w:r>
      <w:r w:rsidRPr="000F0022">
        <w:rPr>
          <w:noProof/>
        </w:rPr>
        <w:t>McClelland (1961)</w:t>
      </w:r>
      <w:r w:rsidR="005A4273" w:rsidRPr="000F0022">
        <w:fldChar w:fldCharType="end"/>
      </w:r>
      <w:r w:rsidRPr="000F0022">
        <w:t xml:space="preserve">.  Berpandukan ciri-ciri Devian Positif yang memandu perubahan diri, didapati Teori McClelland mampu menerangkan bagaimana pemerkasaan kumpulan usahawan bimbingan Program 2YEP ini tercapai iaitu apabila tiga elemen keperluan berjaya dipenuhi iaitu untuk mencapai taraf sosioekonomi yang lebih baik, untuk beraffiliasi dengan pihak lain seperti JKM; serta untuk mempunyai kuasa berdikari.  </w:t>
      </w:r>
    </w:p>
    <w:p w:rsidR="000F0022" w:rsidRDefault="000F0022" w:rsidP="00B84741">
      <w:pPr>
        <w:pStyle w:val="Default"/>
        <w:spacing w:line="276" w:lineRule="auto"/>
        <w:ind w:firstLine="720"/>
        <w:jc w:val="both"/>
      </w:pPr>
      <w:r w:rsidRPr="000F0022">
        <w:t xml:space="preserve">Dalam jangka masa panjang, melalui program-program kebajikan produktif, pembasmian kemiskinan dan pembangunan mampan seperti yang disasarkan  </w:t>
      </w:r>
      <w:r w:rsidRPr="000F0022">
        <w:rPr>
          <w:i/>
        </w:rPr>
        <w:t xml:space="preserve">Sustainable Development Goal 2030 </w:t>
      </w:r>
      <w:r w:rsidR="005A4273" w:rsidRPr="000F0022">
        <w:rPr>
          <w:i/>
        </w:rPr>
        <w:fldChar w:fldCharType="begin" w:fldLock="1"/>
      </w:r>
      <w:r w:rsidRPr="000F0022">
        <w:rPr>
          <w:i/>
        </w:rPr>
        <w:instrText>ADDIN CSL_CITATION {"citationItems":[{"id":"ITEM-1","itemData":{"URL":"http://www.undp.org/content/undp/en/home/sustainable-development-goals.html%0Awww.id.undp.org/content/indonesia/en/home/sustainable-development-goals.html","abstract":"The Sustainable Development Goals (SDGs), otherwise known as the Global Goals, are a universal call to action to end poverty, protect the planet and ensure that all people enjoy peace and prosperity. These 17 Goals build on the successes of the Millennium Development Goals, while including new areas such as climate change, economic inequality, innovation, sustainable consumption, peace and justice, among other priorities. The goals are interconnected – often the key to success on one will involve tackling issues more commonly associated with another. The SDGs work in the spirit of partnership and pragmatism to make the right choices now to improve life, in a sustainable way, for future generations. They provide clear guidelines and targets for all countries to adopt in accordance with their own priorities and the environmental challenges of the world at large. The SDGs are an inclusive agenda. They tackle the root causes of poverty and unite us together to make a positive change for both people and planet. “Poverty eradication is at the heart of the 2030 Agenda, and so is the commitment to leave no-one behind,” UNDP Administrator Achim Steiner said. “The Agenda offers a unique opportunity to put the whole world on a more prosperous and sustainable development path. In many ways, it reflects what UNDP was created for.”","author":[{"dropping-particle":"","family":"United Nations Development Programme","given":"","non-dropping-particle":"","parse-names":false,"suffix":""}],"container-title":"id.undp.org","id":"ITEM-1","issued":{"date-parts":[["2015"]]},"title":"Sustainable Development Goals","type":"webpage"},"uris":["http://www.mendeley.com/documents/?uuid=200f3415-759d-48c4-87b9-c1d3ddb5d29e"]}],"mendeley":{"formattedCitation":"(United Nations Development Programme, 2015)","plainTextFormattedCitation":"(United Nations Development Programme, 2015)","previouslyFormattedCitation":"(United Nations Development Programme, 2015)"},"properties":{"noteIndex":0},"schema":"https://github.com/citation-style-language/schema/raw/master/csl-citation.json"}</w:instrText>
      </w:r>
      <w:r w:rsidR="005A4273" w:rsidRPr="000F0022">
        <w:rPr>
          <w:i/>
        </w:rPr>
        <w:fldChar w:fldCharType="separate"/>
      </w:r>
      <w:r w:rsidRPr="000F0022">
        <w:rPr>
          <w:noProof/>
        </w:rPr>
        <w:t>(United Nations Development Programme, 2015)</w:t>
      </w:r>
      <w:r w:rsidR="005A4273" w:rsidRPr="000F0022">
        <w:rPr>
          <w:i/>
        </w:rPr>
        <w:fldChar w:fldCharType="end"/>
      </w:r>
      <w:r w:rsidRPr="000F0022">
        <w:rPr>
          <w:i/>
        </w:rPr>
        <w:t xml:space="preserve"> </w:t>
      </w:r>
      <w:r w:rsidRPr="000F0022">
        <w:t xml:space="preserve">dapat dicapai.  Berdasarkan penemuan ini, kajian menyarankan supaya kajian yang akan datang dijalankan melalui metodologi dan kelompok usahawan bimbingan yang berbeza.  Ini adalah untuk membolehkan generalisasi dibuat melalui perbandingan di antara program pembangunan keusahawanan tersebut.  Selain itu, adalah dicadangkan penyedia program-program pendidikan komuniti dan pembangunan keusahawanan seperti JKM, agensi pembiayaan, kerajaan negeri dan institusi kerohanian meneruskan hubungan pemantauan berterusan secara berkala dalam mengekalkan pemerkasaan dan </w:t>
      </w:r>
      <w:r w:rsidRPr="000F0022">
        <w:lastRenderedPageBreak/>
        <w:t>kemampanan jangka panjang usahawan bimbingan dan seterusnya membasmi kemiskinan secara berkesan</w:t>
      </w:r>
      <w:r>
        <w:t>.</w:t>
      </w:r>
    </w:p>
    <w:p w:rsidR="00A14097" w:rsidRPr="000F0022" w:rsidRDefault="005607A8" w:rsidP="00B84741">
      <w:pPr>
        <w:spacing w:line="516" w:lineRule="auto"/>
        <w:ind w:left="0" w:firstLine="0"/>
        <w:rPr>
          <w:rFonts w:ascii="Times New Roman" w:hAnsi="Times New Roman" w:cs="Times New Roman"/>
          <w:sz w:val="24"/>
          <w:szCs w:val="24"/>
        </w:rPr>
      </w:pPr>
      <w:r w:rsidRPr="000F0022">
        <w:rPr>
          <w:rFonts w:ascii="Times New Roman" w:hAnsi="Times New Roman" w:cs="Times New Roman"/>
          <w:sz w:val="24"/>
          <w:szCs w:val="24"/>
        </w:rPr>
        <w:t xml:space="preserve"> </w:t>
      </w:r>
    </w:p>
    <w:p w:rsidR="0083332C" w:rsidRPr="006D6843" w:rsidRDefault="00C23831" w:rsidP="00B84741">
      <w:pPr>
        <w:pStyle w:val="ListParagraph"/>
        <w:numPr>
          <w:ilvl w:val="0"/>
          <w:numId w:val="1"/>
        </w:numPr>
        <w:tabs>
          <w:tab w:val="left" w:pos="284"/>
        </w:tabs>
        <w:spacing w:line="240" w:lineRule="auto"/>
        <w:ind w:left="284" w:hanging="284"/>
        <w:rPr>
          <w:rFonts w:ascii="Times New Roman" w:hAnsi="Times New Roman" w:cs="Times New Roman"/>
          <w:sz w:val="24"/>
          <w:szCs w:val="24"/>
        </w:rPr>
      </w:pPr>
      <w:r w:rsidRPr="006D6843">
        <w:rPr>
          <w:rFonts w:ascii="Times New Roman" w:hAnsi="Times New Roman" w:cs="Times New Roman"/>
          <w:b/>
          <w:sz w:val="24"/>
          <w:szCs w:val="24"/>
        </w:rPr>
        <w:t>DAFTAR PUSTAKA</w:t>
      </w:r>
      <w:r w:rsidR="00F20DD0" w:rsidRPr="006D6843">
        <w:rPr>
          <w:rFonts w:ascii="Times New Roman" w:hAnsi="Times New Roman" w:cs="Times New Roman"/>
          <w:b/>
          <w:sz w:val="24"/>
          <w:szCs w:val="24"/>
        </w:rPr>
        <w:t xml:space="preserve"> </w:t>
      </w:r>
    </w:p>
    <w:p w:rsidR="00D05F39" w:rsidRPr="006D6843" w:rsidRDefault="005A4273"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b/>
          <w:sz w:val="24"/>
          <w:szCs w:val="24"/>
        </w:rPr>
        <w:fldChar w:fldCharType="begin" w:fldLock="1"/>
      </w:r>
      <w:r w:rsidR="00D05F39" w:rsidRPr="006D6843">
        <w:rPr>
          <w:rFonts w:ascii="Times New Roman" w:hAnsi="Times New Roman" w:cs="Times New Roman"/>
          <w:b/>
          <w:sz w:val="24"/>
          <w:szCs w:val="24"/>
        </w:rPr>
        <w:instrText xml:space="preserve">ADDIN Mendeley Bibliography CSL_BIBLIOGRAPHY </w:instrText>
      </w:r>
      <w:r w:rsidRPr="006D6843">
        <w:rPr>
          <w:rFonts w:ascii="Times New Roman" w:hAnsi="Times New Roman" w:cs="Times New Roman"/>
          <w:b/>
          <w:sz w:val="24"/>
          <w:szCs w:val="24"/>
        </w:rPr>
        <w:fldChar w:fldCharType="separate"/>
      </w:r>
      <w:r w:rsidR="00D05F39" w:rsidRPr="006D6843">
        <w:rPr>
          <w:rFonts w:ascii="Times New Roman" w:hAnsi="Times New Roman" w:cs="Times New Roman"/>
          <w:noProof/>
          <w:sz w:val="24"/>
          <w:szCs w:val="24"/>
        </w:rPr>
        <w:t>Afruz, F., 2018.</w:t>
      </w:r>
      <w:r w:rsidR="00D05F39" w:rsidRPr="006D6843">
        <w:rPr>
          <w:rFonts w:ascii="Times New Roman" w:hAnsi="Times New Roman" w:cs="Times New Roman"/>
          <w:i/>
          <w:iCs/>
          <w:noProof/>
          <w:sz w:val="24"/>
          <w:szCs w:val="24"/>
        </w:rPr>
        <w:t>“ Empowered Women , Peaceful Communities ” Converting Development Initiatives into Sustainable Business Model</w:t>
      </w:r>
      <w:r w:rsidR="00D05F39" w:rsidRPr="006D6843">
        <w:rPr>
          <w:rFonts w:ascii="Times New Roman" w:hAnsi="Times New Roman" w:cs="Times New Roman"/>
          <w:noProof/>
          <w:sz w:val="24"/>
          <w:szCs w:val="24"/>
        </w:rPr>
        <w:t>. Dhaka, India.</w:t>
      </w: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Alhassan Rabiu, 2018. </w:t>
      </w:r>
      <w:r w:rsidRPr="006D6843">
        <w:rPr>
          <w:rFonts w:ascii="Times New Roman" w:hAnsi="Times New Roman" w:cs="Times New Roman"/>
          <w:i/>
          <w:iCs/>
          <w:noProof/>
          <w:sz w:val="24"/>
          <w:szCs w:val="24"/>
        </w:rPr>
        <w:t>Poverty among Women of Zangbalun in Kumbungu District of the Northern Region</w:t>
      </w:r>
      <w:r w:rsidRPr="006D6843">
        <w:rPr>
          <w:rFonts w:ascii="Times New Roman" w:hAnsi="Times New Roman" w:cs="Times New Roman"/>
          <w:noProof/>
          <w:sz w:val="24"/>
          <w:szCs w:val="24"/>
        </w:rPr>
        <w:t xml:space="preserve">, </w:t>
      </w:r>
      <w:r w:rsidRPr="006D6843">
        <w:rPr>
          <w:rFonts w:ascii="Times New Roman" w:hAnsi="Times New Roman" w:cs="Times New Roman"/>
          <w:i/>
          <w:iCs/>
          <w:noProof/>
          <w:sz w:val="24"/>
          <w:szCs w:val="24"/>
        </w:rPr>
        <w:t>University of Ghana</w:t>
      </w:r>
      <w:r w:rsidRPr="006D6843">
        <w:rPr>
          <w:rFonts w:ascii="Times New Roman" w:hAnsi="Times New Roman" w:cs="Times New Roman"/>
          <w:noProof/>
          <w:sz w:val="24"/>
          <w:szCs w:val="24"/>
        </w:rPr>
        <w:t>.</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Asfaw, Y. A., 2016. ‘Growth determinants of manufacturing micro-and small enterprises in Ethiopia: An empirical study of Tigray Province’, </w:t>
      </w:r>
      <w:r w:rsidRPr="006D6843">
        <w:rPr>
          <w:rFonts w:ascii="Times New Roman" w:hAnsi="Times New Roman" w:cs="Times New Roman"/>
          <w:i/>
          <w:iCs/>
          <w:noProof/>
          <w:sz w:val="24"/>
          <w:szCs w:val="24"/>
        </w:rPr>
        <w:t>Enterprise Development and Microfinance</w:t>
      </w:r>
      <w:r w:rsidRPr="006D6843">
        <w:rPr>
          <w:rFonts w:ascii="Times New Roman" w:hAnsi="Times New Roman" w:cs="Times New Roman"/>
          <w:noProof/>
          <w:sz w:val="24"/>
          <w:szCs w:val="24"/>
        </w:rPr>
        <w:t>, 27(4), pp. 273–297. doi: 10.3362/1755-1986.2016.018.</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Blanchard, K., Carlos, J. P. and Randolph, A.,2001. </w:t>
      </w:r>
      <w:r w:rsidRPr="006D6843">
        <w:rPr>
          <w:rFonts w:ascii="Times New Roman" w:hAnsi="Times New Roman" w:cs="Times New Roman"/>
          <w:i/>
          <w:iCs/>
          <w:noProof/>
          <w:sz w:val="24"/>
          <w:szCs w:val="24"/>
        </w:rPr>
        <w:t>Empowerment Takes More Than a Minute</w:t>
      </w:r>
      <w:r w:rsidRPr="006D6843">
        <w:rPr>
          <w:rFonts w:ascii="Times New Roman" w:hAnsi="Times New Roman" w:cs="Times New Roman"/>
          <w:noProof/>
          <w:sz w:val="24"/>
          <w:szCs w:val="24"/>
        </w:rPr>
        <w:t xml:space="preserve">. Second, </w:t>
      </w:r>
      <w:r w:rsidRPr="006D6843">
        <w:rPr>
          <w:rFonts w:ascii="Times New Roman" w:hAnsi="Times New Roman" w:cs="Times New Roman"/>
          <w:i/>
          <w:iCs/>
          <w:noProof/>
          <w:sz w:val="24"/>
          <w:szCs w:val="24"/>
        </w:rPr>
        <w:t>Berrett-Koehler Publishers, Inc.</w:t>
      </w:r>
      <w:r w:rsidRPr="006D6843">
        <w:rPr>
          <w:rFonts w:ascii="Times New Roman" w:hAnsi="Times New Roman" w:cs="Times New Roman"/>
          <w:noProof/>
          <w:sz w:val="24"/>
          <w:szCs w:val="24"/>
        </w:rPr>
        <w:t xml:space="preserve"> Second. San Francisco: Berrett-Koehler Publishers, Inc. doi: 10.1017/CBO9781107415324.004.</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Chambers, R. and Conway, G. R., 1991. ‘Sustainable rural livelihoods:practical concepts for the 21st century’, </w:t>
      </w:r>
      <w:r w:rsidRPr="006D6843">
        <w:rPr>
          <w:rFonts w:ascii="Times New Roman" w:hAnsi="Times New Roman" w:cs="Times New Roman"/>
          <w:i/>
          <w:iCs/>
          <w:noProof/>
          <w:sz w:val="24"/>
          <w:szCs w:val="24"/>
        </w:rPr>
        <w:t>IDS Discussion Paper</w:t>
      </w:r>
      <w:r w:rsidRPr="006D6843">
        <w:rPr>
          <w:rFonts w:ascii="Times New Roman" w:hAnsi="Times New Roman" w:cs="Times New Roman"/>
          <w:noProof/>
          <w:sz w:val="24"/>
          <w:szCs w:val="24"/>
        </w:rPr>
        <w:t>, 296(December), p. 33. doi: ISBN 0 903715 58 9.</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Department for International Development, 1999.</w:t>
      </w:r>
      <w:r w:rsidRPr="006D6843">
        <w:rPr>
          <w:rFonts w:ascii="Times New Roman" w:hAnsi="Times New Roman" w:cs="Times New Roman"/>
          <w:i/>
          <w:iCs/>
          <w:noProof/>
          <w:sz w:val="24"/>
          <w:szCs w:val="24"/>
        </w:rPr>
        <w:t>Sustainable Livelihoods Guidance Sheets</w:t>
      </w:r>
      <w:r w:rsidRPr="006D6843">
        <w:rPr>
          <w:rFonts w:ascii="Times New Roman" w:hAnsi="Times New Roman" w:cs="Times New Roman"/>
          <w:noProof/>
          <w:sz w:val="24"/>
          <w:szCs w:val="24"/>
        </w:rPr>
        <w:t>. London, UK: Department for International Development (DFID). Available at: www.dfid.gov.uk/.</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Herington, M. J. and Fliert, E. Van De, 2017. ‘Positive Deviance in Theory and Practice : A Conceptual Review Positive Deviance in Theory and Practice : A Conceptual Review’, </w:t>
      </w:r>
      <w:r w:rsidRPr="006D6843">
        <w:rPr>
          <w:rFonts w:ascii="Times New Roman" w:hAnsi="Times New Roman" w:cs="Times New Roman"/>
          <w:i/>
          <w:iCs/>
          <w:noProof/>
          <w:sz w:val="24"/>
          <w:szCs w:val="24"/>
        </w:rPr>
        <w:t>Deviant Behavior</w:t>
      </w:r>
      <w:r w:rsidRPr="006D6843">
        <w:rPr>
          <w:rFonts w:ascii="Times New Roman" w:hAnsi="Times New Roman" w:cs="Times New Roman"/>
          <w:noProof/>
          <w:sz w:val="24"/>
          <w:szCs w:val="24"/>
        </w:rPr>
        <w:t>. Routledge, 00(00), pp. 1–15. doi: 10.1080/01639625.2017.1286194.</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Hoffman, A. J. and Haigh, N., 2011. ‘Positive Deviance for a Sustainable World: Linking Sustainability and Positive Organizational Scholarship’, in Cameron, K. S. and Spreitzer, G. M. (eds) </w:t>
      </w:r>
      <w:r w:rsidRPr="006D6843">
        <w:rPr>
          <w:rFonts w:ascii="Times New Roman" w:hAnsi="Times New Roman" w:cs="Times New Roman"/>
          <w:i/>
          <w:iCs/>
          <w:noProof/>
          <w:sz w:val="24"/>
          <w:szCs w:val="24"/>
        </w:rPr>
        <w:t>The Oxford Handbook of Positive Organizational Scholarship</w:t>
      </w:r>
      <w:r w:rsidRPr="006D6843">
        <w:rPr>
          <w:rFonts w:ascii="Times New Roman" w:hAnsi="Times New Roman" w:cs="Times New Roman"/>
          <w:noProof/>
          <w:sz w:val="24"/>
          <w:szCs w:val="24"/>
        </w:rPr>
        <w:t>. New York, USA: Oxford University Press, pp. 953–964.</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Jabatan Kebajikan Masyarakat, 2019. </w:t>
      </w:r>
      <w:r w:rsidRPr="006D6843">
        <w:rPr>
          <w:rFonts w:ascii="Times New Roman" w:hAnsi="Times New Roman" w:cs="Times New Roman"/>
          <w:i/>
          <w:iCs/>
          <w:noProof/>
          <w:sz w:val="24"/>
          <w:szCs w:val="24"/>
        </w:rPr>
        <w:t>Perkhidmatan Geran Pelancaran</w:t>
      </w:r>
      <w:r w:rsidRPr="006D6843">
        <w:rPr>
          <w:rFonts w:ascii="Times New Roman" w:hAnsi="Times New Roman" w:cs="Times New Roman"/>
          <w:noProof/>
          <w:sz w:val="24"/>
          <w:szCs w:val="24"/>
        </w:rPr>
        <w:t xml:space="preserve">, </w:t>
      </w:r>
      <w:r w:rsidRPr="006D6843">
        <w:rPr>
          <w:rFonts w:ascii="Times New Roman" w:hAnsi="Times New Roman" w:cs="Times New Roman"/>
          <w:i/>
          <w:iCs/>
          <w:noProof/>
          <w:sz w:val="24"/>
          <w:szCs w:val="24"/>
        </w:rPr>
        <w:t>Jabatan Kebajikan Masyarakat</w:t>
      </w:r>
      <w:r w:rsidRPr="006D6843">
        <w:rPr>
          <w:rFonts w:ascii="Times New Roman" w:hAnsi="Times New Roman" w:cs="Times New Roman"/>
          <w:noProof/>
          <w:sz w:val="24"/>
          <w:szCs w:val="24"/>
        </w:rPr>
        <w:t>. Available at: http://www.jkm.gov.my/jkm/index.php?r=portal/left&amp;id=NWxtc1E1eCs4VDI2SFA4bkg3M0FaQT09 (Accessed: 9 October 2019).</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Kabeer, N., 1999. ‘Resources , Agency , Achievements : Reflections on the Measurement of Women’s Empowerment’, </w:t>
      </w:r>
      <w:r w:rsidRPr="006D6843">
        <w:rPr>
          <w:rFonts w:ascii="Times New Roman" w:hAnsi="Times New Roman" w:cs="Times New Roman"/>
          <w:i/>
          <w:iCs/>
          <w:noProof/>
          <w:sz w:val="24"/>
          <w:szCs w:val="24"/>
        </w:rPr>
        <w:t>Development and Change</w:t>
      </w:r>
      <w:r w:rsidRPr="006D6843">
        <w:rPr>
          <w:rFonts w:ascii="Times New Roman" w:hAnsi="Times New Roman" w:cs="Times New Roman"/>
          <w:noProof/>
          <w:sz w:val="24"/>
          <w:szCs w:val="24"/>
        </w:rPr>
        <w:t xml:space="preserve">, 30(May), </w:t>
      </w:r>
      <w:r w:rsidRPr="006D6843">
        <w:rPr>
          <w:rFonts w:ascii="Times New Roman" w:hAnsi="Times New Roman" w:cs="Times New Roman"/>
          <w:noProof/>
          <w:sz w:val="24"/>
          <w:szCs w:val="24"/>
        </w:rPr>
        <w:lastRenderedPageBreak/>
        <w:t>pp. 435–464. doi: https://doi.org/10.1111/1467-7660.00125.</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Kenny, S., Hasan, A. and Fanany, I., 2017. ‘Community Development in Indonesia’, </w:t>
      </w:r>
      <w:r w:rsidRPr="006D6843">
        <w:rPr>
          <w:rFonts w:ascii="Times New Roman" w:hAnsi="Times New Roman" w:cs="Times New Roman"/>
          <w:i/>
          <w:iCs/>
          <w:noProof/>
          <w:sz w:val="24"/>
          <w:szCs w:val="24"/>
        </w:rPr>
        <w:t>Community Development Journal</w:t>
      </w:r>
      <w:r w:rsidRPr="006D6843">
        <w:rPr>
          <w:rFonts w:ascii="Times New Roman" w:hAnsi="Times New Roman" w:cs="Times New Roman"/>
          <w:noProof/>
          <w:sz w:val="24"/>
          <w:szCs w:val="24"/>
        </w:rPr>
        <w:t>, 52(1), pp. 107–124. doi: 10.1093/cdj/bsw059.</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Khairul Amri, A., 2019. ‘Keberkesanan Sistem Pengurusan Kes (CMS) Kerja Sosial dalam 2 Years Exit Programme (2 YEP) Jabatan Kebajikan Masyarakat’, in </w:t>
      </w:r>
      <w:r w:rsidRPr="006D6843">
        <w:rPr>
          <w:rFonts w:ascii="Times New Roman" w:hAnsi="Times New Roman" w:cs="Times New Roman"/>
          <w:i/>
          <w:iCs/>
          <w:noProof/>
          <w:sz w:val="24"/>
          <w:szCs w:val="24"/>
        </w:rPr>
        <w:t>MASW-JKM-ISM International Social Work Symposium 27 &amp; 28th April 2019</w:t>
      </w:r>
      <w:r w:rsidRPr="006D6843">
        <w:rPr>
          <w:rFonts w:ascii="Times New Roman" w:hAnsi="Times New Roman" w:cs="Times New Roman"/>
          <w:noProof/>
          <w:sz w:val="24"/>
          <w:szCs w:val="24"/>
        </w:rPr>
        <w:t>, pp. 229–236.</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Khushk, G. M. </w:t>
      </w:r>
      <w:r w:rsidRPr="006D6843">
        <w:rPr>
          <w:rFonts w:ascii="Times New Roman" w:hAnsi="Times New Roman" w:cs="Times New Roman"/>
          <w:i/>
          <w:iCs/>
          <w:noProof/>
          <w:sz w:val="24"/>
          <w:szCs w:val="24"/>
        </w:rPr>
        <w:t>et al.</w:t>
      </w:r>
      <w:r w:rsidRPr="006D6843">
        <w:rPr>
          <w:rFonts w:ascii="Times New Roman" w:hAnsi="Times New Roman" w:cs="Times New Roman"/>
          <w:noProof/>
          <w:sz w:val="24"/>
          <w:szCs w:val="24"/>
        </w:rPr>
        <w:t xml:space="preserve">, 2016. ‘Empowerment Among Small Farmers Of Sindh Province, Pakistan’, </w:t>
      </w:r>
      <w:r w:rsidRPr="006D6843">
        <w:rPr>
          <w:rFonts w:ascii="Times New Roman" w:hAnsi="Times New Roman" w:cs="Times New Roman"/>
          <w:i/>
          <w:iCs/>
          <w:noProof/>
          <w:sz w:val="24"/>
          <w:szCs w:val="24"/>
        </w:rPr>
        <w:t>Asian Economic and Social Society</w:t>
      </w:r>
      <w:r w:rsidRPr="006D6843">
        <w:rPr>
          <w:rFonts w:ascii="Times New Roman" w:hAnsi="Times New Roman" w:cs="Times New Roman"/>
          <w:noProof/>
          <w:sz w:val="24"/>
          <w:szCs w:val="24"/>
        </w:rPr>
        <w:t>, 6(3), pp. 41–49. doi: 10.18488/journal.1005/2016.6.3/1005.3.41.49.</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Lyons, M., Smuts, C. and Stephens, A., 2001. ‘Participation , Empowerment and Sustainability : (How) Do the Links Work ?’, </w:t>
      </w:r>
      <w:r w:rsidRPr="006D6843">
        <w:rPr>
          <w:rFonts w:ascii="Times New Roman" w:hAnsi="Times New Roman" w:cs="Times New Roman"/>
          <w:i/>
          <w:iCs/>
          <w:noProof/>
          <w:sz w:val="24"/>
          <w:szCs w:val="24"/>
        </w:rPr>
        <w:t>Urban Studies</w:t>
      </w:r>
      <w:r w:rsidRPr="006D6843">
        <w:rPr>
          <w:rFonts w:ascii="Times New Roman" w:hAnsi="Times New Roman" w:cs="Times New Roman"/>
          <w:noProof/>
          <w:sz w:val="24"/>
          <w:szCs w:val="24"/>
        </w:rPr>
        <w:t>, 38(8), pp. 1233–1251. doi: https://doi.org/10.1080/00420980125039.</w:t>
      </w: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Malhotra, A. and Schuler, S. R., 2005. ‘Women’s Empowerment as a Variable in International Development’, in Narayan, D. (ed.) </w:t>
      </w:r>
      <w:r w:rsidRPr="006D6843">
        <w:rPr>
          <w:rFonts w:ascii="Times New Roman" w:hAnsi="Times New Roman" w:cs="Times New Roman"/>
          <w:i/>
          <w:iCs/>
          <w:noProof/>
          <w:sz w:val="24"/>
          <w:szCs w:val="24"/>
        </w:rPr>
        <w:t>Measuring empowerment: Cross-disciplinary perspectives</w:t>
      </w:r>
      <w:r w:rsidRPr="006D6843">
        <w:rPr>
          <w:rFonts w:ascii="Times New Roman" w:hAnsi="Times New Roman" w:cs="Times New Roman"/>
          <w:noProof/>
          <w:sz w:val="24"/>
          <w:szCs w:val="24"/>
        </w:rPr>
        <w:t>. Washington DC, USA: The World Bank, pp. 71–88. Available at: https://openknowledge.worldbank.org/bitstream/handle/10986/7441/344100PAPER0Me101Official0use0only1.pdf?sequence=1&amp;isAllowed=y.</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McClelland, D. C., 1961. </w:t>
      </w:r>
      <w:r w:rsidRPr="006D6843">
        <w:rPr>
          <w:rFonts w:ascii="Times New Roman" w:hAnsi="Times New Roman" w:cs="Times New Roman"/>
          <w:i/>
          <w:iCs/>
          <w:noProof/>
          <w:sz w:val="24"/>
          <w:szCs w:val="24"/>
        </w:rPr>
        <w:t>The Achieving Society</w:t>
      </w:r>
      <w:r w:rsidRPr="006D6843">
        <w:rPr>
          <w:rFonts w:ascii="Times New Roman" w:hAnsi="Times New Roman" w:cs="Times New Roman"/>
          <w:noProof/>
          <w:sz w:val="24"/>
          <w:szCs w:val="24"/>
        </w:rPr>
        <w:t xml:space="preserve">, </w:t>
      </w:r>
      <w:r w:rsidRPr="006D6843">
        <w:rPr>
          <w:rFonts w:ascii="Times New Roman" w:hAnsi="Times New Roman" w:cs="Times New Roman"/>
          <w:i/>
          <w:iCs/>
          <w:noProof/>
          <w:sz w:val="24"/>
          <w:szCs w:val="24"/>
        </w:rPr>
        <w:t>University of Illinois at Urbana Champaigns Academy for Entrepreneurial Leadership Historical Research Reference in Entrepreneurship</w:t>
      </w:r>
      <w:r w:rsidRPr="006D6843">
        <w:rPr>
          <w:rFonts w:ascii="Times New Roman" w:hAnsi="Times New Roman" w:cs="Times New Roman"/>
          <w:noProof/>
          <w:sz w:val="24"/>
          <w:szCs w:val="24"/>
        </w:rPr>
        <w:t>. doi: 10.2139/ssrn.1496181.</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Nik Fuad, N. M. K. and Noraien, M., 2007. </w:t>
      </w:r>
      <w:r w:rsidRPr="006D6843">
        <w:rPr>
          <w:rFonts w:ascii="Times New Roman" w:hAnsi="Times New Roman" w:cs="Times New Roman"/>
          <w:i/>
          <w:iCs/>
          <w:noProof/>
          <w:sz w:val="24"/>
          <w:szCs w:val="24"/>
        </w:rPr>
        <w:t>Penghidupan Mapan</w:t>
      </w:r>
      <w:r w:rsidRPr="006D6843">
        <w:rPr>
          <w:rFonts w:ascii="Times New Roman" w:hAnsi="Times New Roman" w:cs="Times New Roman"/>
          <w:noProof/>
          <w:sz w:val="24"/>
          <w:szCs w:val="24"/>
        </w:rPr>
        <w:t>. Cetakan Pe. Kuala Terengganu, Malaysia: Universiti Malaysia Terengganu.</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Noraida, I. </w:t>
      </w:r>
      <w:r w:rsidRPr="006D6843">
        <w:rPr>
          <w:rFonts w:ascii="Times New Roman" w:hAnsi="Times New Roman" w:cs="Times New Roman"/>
          <w:i/>
          <w:iCs/>
          <w:noProof/>
          <w:sz w:val="24"/>
          <w:szCs w:val="24"/>
        </w:rPr>
        <w:t>et al.</w:t>
      </w:r>
      <w:r w:rsidRPr="006D6843">
        <w:rPr>
          <w:rFonts w:ascii="Times New Roman" w:hAnsi="Times New Roman" w:cs="Times New Roman"/>
          <w:noProof/>
          <w:sz w:val="24"/>
          <w:szCs w:val="24"/>
        </w:rPr>
        <w:t xml:space="preserve">, 2018. ‘Kajian Penilaian Outcome: Program Exit Bagi Penerima Bantuan Jabatan Kebajikan Masyarakat Yang Produktif’, </w:t>
      </w:r>
      <w:r w:rsidRPr="006D6843">
        <w:rPr>
          <w:rFonts w:ascii="Times New Roman" w:hAnsi="Times New Roman" w:cs="Times New Roman"/>
          <w:i/>
          <w:iCs/>
          <w:noProof/>
          <w:sz w:val="24"/>
          <w:szCs w:val="24"/>
        </w:rPr>
        <w:t>Jurnal Kebajikan Masyarakat (Social Welfare Journal)</w:t>
      </w:r>
      <w:r w:rsidRPr="006D6843">
        <w:rPr>
          <w:rFonts w:ascii="Times New Roman" w:hAnsi="Times New Roman" w:cs="Times New Roman"/>
          <w:noProof/>
          <w:sz w:val="24"/>
          <w:szCs w:val="24"/>
        </w:rPr>
        <w:t>, 45(Nov), pp. 109–118.</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Rappaport, J., 1984. ‘Studies in empowerment: Introduction to the issue’, </w:t>
      </w:r>
      <w:r w:rsidRPr="006D6843">
        <w:rPr>
          <w:rFonts w:ascii="Times New Roman" w:hAnsi="Times New Roman" w:cs="Times New Roman"/>
          <w:i/>
          <w:iCs/>
          <w:noProof/>
          <w:sz w:val="24"/>
          <w:szCs w:val="24"/>
        </w:rPr>
        <w:t>Prevention in Human Services</w:t>
      </w:r>
      <w:r w:rsidRPr="006D6843">
        <w:rPr>
          <w:rFonts w:ascii="Times New Roman" w:hAnsi="Times New Roman" w:cs="Times New Roman"/>
          <w:noProof/>
          <w:sz w:val="24"/>
          <w:szCs w:val="24"/>
        </w:rPr>
        <w:t>, 3(2–3), pp. 1–7. doi: 10.1300/J293v03n02_02.</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Sharifah Norazizan, S. A. R. </w:t>
      </w:r>
      <w:r w:rsidRPr="006D6843">
        <w:rPr>
          <w:rFonts w:ascii="Times New Roman" w:hAnsi="Times New Roman" w:cs="Times New Roman"/>
          <w:i/>
          <w:iCs/>
          <w:noProof/>
          <w:sz w:val="24"/>
          <w:szCs w:val="24"/>
        </w:rPr>
        <w:t xml:space="preserve">et al., </w:t>
      </w:r>
      <w:r w:rsidRPr="006D6843">
        <w:rPr>
          <w:rFonts w:ascii="Times New Roman" w:hAnsi="Times New Roman" w:cs="Times New Roman"/>
          <w:noProof/>
          <w:sz w:val="24"/>
          <w:szCs w:val="24"/>
        </w:rPr>
        <w:t xml:space="preserve">2017. </w:t>
      </w:r>
      <w:r w:rsidRPr="006D6843">
        <w:rPr>
          <w:rFonts w:ascii="Times New Roman" w:hAnsi="Times New Roman" w:cs="Times New Roman"/>
          <w:i/>
          <w:iCs/>
          <w:noProof/>
          <w:sz w:val="24"/>
          <w:szCs w:val="24"/>
        </w:rPr>
        <w:t>Laporan Akhir Kajian Keberkesanan Bantuan Kewangan Jabatan Kebajikan Masyarakat, Kementerian Pembangunan Wanita, Keluarga Dan Masyarakat</w:t>
      </w:r>
      <w:r w:rsidRPr="006D6843">
        <w:rPr>
          <w:rFonts w:ascii="Times New Roman" w:hAnsi="Times New Roman" w:cs="Times New Roman"/>
          <w:noProof/>
          <w:sz w:val="24"/>
          <w:szCs w:val="24"/>
        </w:rPr>
        <w:t>. Serdang, Selangor.</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SME Corporation Malaysia, 2012. ‘Ringkasan Pelan Induk PKS 2012-2020’. Kuala Lumpur, Malaysia: SME Corporation Malaysia, p. 187.</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lastRenderedPageBreak/>
        <w:t xml:space="preserve">Stienstra, D. and Lee, T. M. L., 2019. ‘Disabilities and Livelihoods : Rethinking a Conceptual Framework’, </w:t>
      </w:r>
      <w:r w:rsidRPr="006D6843">
        <w:rPr>
          <w:rFonts w:ascii="Times New Roman" w:hAnsi="Times New Roman" w:cs="Times New Roman"/>
          <w:i/>
          <w:iCs/>
          <w:noProof/>
          <w:sz w:val="24"/>
          <w:szCs w:val="24"/>
        </w:rPr>
        <w:t>Societies</w:t>
      </w:r>
      <w:r w:rsidRPr="006D6843">
        <w:rPr>
          <w:rFonts w:ascii="Times New Roman" w:hAnsi="Times New Roman" w:cs="Times New Roman"/>
          <w:noProof/>
          <w:sz w:val="24"/>
          <w:szCs w:val="24"/>
        </w:rPr>
        <w:t>, 9(67), pp. 1–14. doi: 10.3390/soc9040067.</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Timmons, J. A., 1975. ‘Guided entrepreneurship’, </w:t>
      </w:r>
      <w:r w:rsidRPr="006D6843">
        <w:rPr>
          <w:rFonts w:ascii="Times New Roman" w:hAnsi="Times New Roman" w:cs="Times New Roman"/>
          <w:i/>
          <w:iCs/>
          <w:noProof/>
          <w:sz w:val="24"/>
          <w:szCs w:val="24"/>
        </w:rPr>
        <w:t>Business Horizons</w:t>
      </w:r>
      <w:r w:rsidRPr="006D6843">
        <w:rPr>
          <w:rFonts w:ascii="Times New Roman" w:hAnsi="Times New Roman" w:cs="Times New Roman"/>
          <w:noProof/>
          <w:sz w:val="24"/>
          <w:szCs w:val="24"/>
        </w:rPr>
        <w:t>, 18(6), pp. 49–52. doi: 10.1016/0007-6813(75)90040-3.</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Tyson, L. d. A., Petrin, T. and Rogers, H., 1994. ‘Promoting Entrepreneurship in Eastern Europe’, </w:t>
      </w:r>
      <w:r w:rsidRPr="006D6843">
        <w:rPr>
          <w:rFonts w:ascii="Times New Roman" w:hAnsi="Times New Roman" w:cs="Times New Roman"/>
          <w:i/>
          <w:iCs/>
          <w:noProof/>
          <w:sz w:val="24"/>
          <w:szCs w:val="24"/>
        </w:rPr>
        <w:t>Small Business Economics</w:t>
      </w:r>
      <w:r w:rsidRPr="006D6843">
        <w:rPr>
          <w:rFonts w:ascii="Times New Roman" w:hAnsi="Times New Roman" w:cs="Times New Roman"/>
          <w:noProof/>
          <w:sz w:val="24"/>
          <w:szCs w:val="24"/>
        </w:rPr>
        <w:t>, 6(3), pp. 165–184. doi: 10.1007/BF01108286.</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United Nations Development Programme, 2015. </w:t>
      </w:r>
      <w:r w:rsidRPr="006D6843">
        <w:rPr>
          <w:rFonts w:ascii="Times New Roman" w:hAnsi="Times New Roman" w:cs="Times New Roman"/>
          <w:i/>
          <w:iCs/>
          <w:noProof/>
          <w:sz w:val="24"/>
          <w:szCs w:val="24"/>
        </w:rPr>
        <w:t>Sustainable Development Goals</w:t>
      </w:r>
      <w:r w:rsidRPr="006D6843">
        <w:rPr>
          <w:rFonts w:ascii="Times New Roman" w:hAnsi="Times New Roman" w:cs="Times New Roman"/>
          <w:noProof/>
          <w:sz w:val="24"/>
          <w:szCs w:val="24"/>
        </w:rPr>
        <w:t xml:space="preserve">, </w:t>
      </w:r>
      <w:r w:rsidRPr="006D6843">
        <w:rPr>
          <w:rFonts w:ascii="Times New Roman" w:hAnsi="Times New Roman" w:cs="Times New Roman"/>
          <w:i/>
          <w:iCs/>
          <w:noProof/>
          <w:sz w:val="24"/>
          <w:szCs w:val="24"/>
        </w:rPr>
        <w:t>id.undp.org</w:t>
      </w:r>
      <w:r w:rsidRPr="006D6843">
        <w:rPr>
          <w:rFonts w:ascii="Times New Roman" w:hAnsi="Times New Roman" w:cs="Times New Roman"/>
          <w:noProof/>
          <w:sz w:val="24"/>
          <w:szCs w:val="24"/>
        </w:rPr>
        <w:t>. Available at: http://www.undp.org/content/undp/en/home/sustainable-development-goals.html%0Awww.id.undp.org/content/indonesia/en/home/sustainable-development-goals.html.</w:t>
      </w:r>
    </w:p>
    <w:p w:rsidR="00B84741" w:rsidRPr="006D6843" w:rsidRDefault="00B84741" w:rsidP="00B84741">
      <w:pPr>
        <w:widowControl w:val="0"/>
        <w:autoSpaceDE w:val="0"/>
        <w:autoSpaceDN w:val="0"/>
        <w:adjustRightInd w:val="0"/>
        <w:spacing w:line="240" w:lineRule="auto"/>
        <w:ind w:left="709" w:hanging="709"/>
        <w:rPr>
          <w:rFonts w:ascii="Times New Roman" w:hAnsi="Times New Roman" w:cs="Times New Roman"/>
          <w:noProof/>
          <w:sz w:val="24"/>
          <w:szCs w:val="24"/>
        </w:rPr>
      </w:pPr>
    </w:p>
    <w:p w:rsidR="00D05F39" w:rsidRPr="006D6843" w:rsidRDefault="00D05F39" w:rsidP="00B84741">
      <w:pPr>
        <w:widowControl w:val="0"/>
        <w:autoSpaceDE w:val="0"/>
        <w:autoSpaceDN w:val="0"/>
        <w:adjustRightInd w:val="0"/>
        <w:spacing w:line="240" w:lineRule="auto"/>
        <w:ind w:left="709" w:hanging="709"/>
        <w:rPr>
          <w:rFonts w:ascii="Times New Roman" w:hAnsi="Times New Roman" w:cs="Times New Roman"/>
          <w:noProof/>
          <w:sz w:val="24"/>
          <w:szCs w:val="24"/>
        </w:rPr>
      </w:pPr>
      <w:r w:rsidRPr="006D6843">
        <w:rPr>
          <w:rFonts w:ascii="Times New Roman" w:hAnsi="Times New Roman" w:cs="Times New Roman"/>
          <w:noProof/>
          <w:sz w:val="24"/>
          <w:szCs w:val="24"/>
        </w:rPr>
        <w:t xml:space="preserve">Zimmerman, M. A., 2000. ‘Empowerment Theory: Psychological, Organizational and Community Levels of Analysis’, in Rappaport, J. and Seidman, E. (eds) </w:t>
      </w:r>
      <w:r w:rsidRPr="006D6843">
        <w:rPr>
          <w:rFonts w:ascii="Times New Roman" w:hAnsi="Times New Roman" w:cs="Times New Roman"/>
          <w:i/>
          <w:iCs/>
          <w:noProof/>
          <w:sz w:val="24"/>
          <w:szCs w:val="24"/>
        </w:rPr>
        <w:t>Handbook of Community Psychology</w:t>
      </w:r>
      <w:r w:rsidRPr="006D6843">
        <w:rPr>
          <w:rFonts w:ascii="Times New Roman" w:hAnsi="Times New Roman" w:cs="Times New Roman"/>
          <w:noProof/>
          <w:sz w:val="24"/>
          <w:szCs w:val="24"/>
        </w:rPr>
        <w:t>. 1st edn. New York: Springer Science+Business Media, pp. 43–63.</w:t>
      </w:r>
    </w:p>
    <w:p w:rsidR="000F0022" w:rsidRDefault="005A4273" w:rsidP="00D05F39">
      <w:pPr>
        <w:pStyle w:val="ListParagraph"/>
        <w:tabs>
          <w:tab w:val="left" w:pos="426"/>
        </w:tabs>
        <w:spacing w:line="240" w:lineRule="auto"/>
        <w:ind w:left="0" w:firstLine="0"/>
        <w:rPr>
          <w:rFonts w:ascii="Times New Roman" w:hAnsi="Times New Roman" w:cs="Times New Roman"/>
          <w:b/>
        </w:rPr>
      </w:pPr>
      <w:r w:rsidRPr="006D6843">
        <w:rPr>
          <w:rFonts w:ascii="Times New Roman" w:hAnsi="Times New Roman" w:cs="Times New Roman"/>
          <w:b/>
          <w:sz w:val="24"/>
          <w:szCs w:val="24"/>
        </w:rPr>
        <w:fldChar w:fldCharType="end"/>
      </w:r>
    </w:p>
    <w:p w:rsidR="000F0022" w:rsidRDefault="000F0022" w:rsidP="00D05F39">
      <w:pPr>
        <w:pStyle w:val="ListParagraph"/>
        <w:tabs>
          <w:tab w:val="left" w:pos="426"/>
        </w:tabs>
        <w:spacing w:line="240" w:lineRule="auto"/>
        <w:ind w:left="0" w:firstLine="0"/>
        <w:rPr>
          <w:rFonts w:ascii="Times New Roman" w:hAnsi="Times New Roman" w:cs="Times New Roman"/>
          <w:b/>
        </w:rPr>
      </w:pPr>
    </w:p>
    <w:p w:rsidR="000F0022" w:rsidRPr="00CC7360" w:rsidRDefault="000F0022" w:rsidP="00CC7360">
      <w:pPr>
        <w:tabs>
          <w:tab w:val="left" w:pos="426"/>
        </w:tabs>
        <w:spacing w:line="240" w:lineRule="auto"/>
        <w:rPr>
          <w:rFonts w:ascii="Times New Roman" w:hAnsi="Times New Roman" w:cs="Times New Roman"/>
          <w:b/>
        </w:rPr>
      </w:pPr>
    </w:p>
    <w:sectPr w:rsidR="000F0022" w:rsidRPr="00CC7360" w:rsidSect="000713CA">
      <w:headerReference w:type="even" r:id="rId9"/>
      <w:headerReference w:type="default" r:id="rId10"/>
      <w:pgSz w:w="11907" w:h="16840" w:code="9"/>
      <w:pgMar w:top="2007" w:right="1701" w:bottom="2007" w:left="1701" w:header="720" w:footer="720" w:gutter="0"/>
      <w:pgNumType w:start="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21D" w:rsidRDefault="009C021D" w:rsidP="005660AC">
      <w:pPr>
        <w:spacing w:line="240" w:lineRule="auto"/>
      </w:pPr>
      <w:r>
        <w:separator/>
      </w:r>
    </w:p>
  </w:endnote>
  <w:endnote w:type="continuationSeparator" w:id="0">
    <w:p w:rsidR="009C021D" w:rsidRDefault="009C021D" w:rsidP="00566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21D" w:rsidRDefault="009C021D" w:rsidP="005660AC">
      <w:pPr>
        <w:spacing w:line="240" w:lineRule="auto"/>
        <w:ind w:left="0" w:firstLine="0"/>
      </w:pPr>
      <w:r>
        <w:separator/>
      </w:r>
    </w:p>
  </w:footnote>
  <w:footnote w:type="continuationSeparator" w:id="0">
    <w:p w:rsidR="009C021D" w:rsidRDefault="009C021D" w:rsidP="00566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642888"/>
      <w:docPartObj>
        <w:docPartGallery w:val="Page Numbers (Top of Page)"/>
        <w:docPartUnique/>
      </w:docPartObj>
    </w:sdtPr>
    <w:sdtEndPr>
      <w:rPr>
        <w:rFonts w:ascii="Times New Roman" w:hAnsi="Times New Roman" w:cs="Times New Roman"/>
        <w:noProof/>
        <w:sz w:val="24"/>
        <w:szCs w:val="24"/>
      </w:rPr>
    </w:sdtEndPr>
    <w:sdtContent>
      <w:p w:rsidR="000713CA" w:rsidRPr="000713CA" w:rsidRDefault="000713CA" w:rsidP="000713CA">
        <w:pPr>
          <w:pStyle w:val="Header"/>
          <w:ind w:left="0" w:firstLine="0"/>
          <w:rPr>
            <w:rFonts w:ascii="Times New Roman" w:hAnsi="Times New Roman" w:cs="Times New Roman"/>
            <w:sz w:val="24"/>
            <w:szCs w:val="24"/>
          </w:rPr>
        </w:pPr>
        <w:r w:rsidRPr="000713CA">
          <w:rPr>
            <w:rFonts w:ascii="Times New Roman" w:hAnsi="Times New Roman" w:cs="Times New Roman"/>
            <w:sz w:val="24"/>
            <w:szCs w:val="24"/>
          </w:rPr>
          <w:fldChar w:fldCharType="begin"/>
        </w:r>
        <w:r w:rsidRPr="000713CA">
          <w:rPr>
            <w:rFonts w:ascii="Times New Roman" w:hAnsi="Times New Roman" w:cs="Times New Roman"/>
            <w:sz w:val="24"/>
            <w:szCs w:val="24"/>
          </w:rPr>
          <w:instrText xml:space="preserve"> PAGE   \* MERGEFORMAT </w:instrText>
        </w:r>
        <w:r w:rsidRPr="000713CA">
          <w:rPr>
            <w:rFonts w:ascii="Times New Roman" w:hAnsi="Times New Roman" w:cs="Times New Roman"/>
            <w:sz w:val="24"/>
            <w:szCs w:val="24"/>
          </w:rPr>
          <w:fldChar w:fldCharType="separate"/>
        </w:r>
        <w:r>
          <w:rPr>
            <w:rFonts w:ascii="Times New Roman" w:hAnsi="Times New Roman" w:cs="Times New Roman"/>
            <w:noProof/>
            <w:sz w:val="24"/>
            <w:szCs w:val="24"/>
          </w:rPr>
          <w:t>84</w:t>
        </w:r>
        <w:r w:rsidRPr="000713CA">
          <w:rPr>
            <w:rFonts w:ascii="Times New Roman" w:hAnsi="Times New Roman" w:cs="Times New Roman"/>
            <w:noProof/>
            <w:sz w:val="24"/>
            <w:szCs w:val="24"/>
          </w:rPr>
          <w:fldChar w:fldCharType="end"/>
        </w:r>
      </w:p>
    </w:sdtContent>
  </w:sdt>
  <w:p w:rsidR="000713CA" w:rsidRPr="006D6843" w:rsidRDefault="000713CA" w:rsidP="000713CA">
    <w:pPr>
      <w:pStyle w:val="Header"/>
      <w:ind w:hanging="2069"/>
      <w:rPr>
        <w:rFonts w:ascii="Times New Roman" w:hAnsi="Times New Roman" w:cs="Times New Roman"/>
        <w:sz w:val="24"/>
        <w:szCs w:val="24"/>
        <w:lang w:val="id-ID"/>
      </w:rPr>
    </w:pPr>
    <w:r w:rsidRPr="006D6843">
      <w:rPr>
        <w:rFonts w:ascii="Times New Roman" w:hAnsi="Times New Roman" w:cs="Times New Roman"/>
        <w:sz w:val="24"/>
        <w:szCs w:val="24"/>
      </w:rPr>
      <w:t>Community: Volume 6, Nomor 1, April 2020</w:t>
    </w:r>
  </w:p>
  <w:p w:rsidR="000713CA" w:rsidRPr="006D6843" w:rsidRDefault="000713CA" w:rsidP="000713CA">
    <w:pPr>
      <w:pStyle w:val="Header"/>
      <w:ind w:hanging="2069"/>
      <w:rPr>
        <w:rFonts w:ascii="Times New Roman" w:hAnsi="Times New Roman" w:cs="Times New Roman"/>
        <w:sz w:val="24"/>
        <w:szCs w:val="24"/>
      </w:rPr>
    </w:pPr>
    <w:r w:rsidRPr="006D6843">
      <w:rPr>
        <w:rFonts w:ascii="Times New Roman" w:hAnsi="Times New Roman" w:cs="Times New Roman"/>
        <w:sz w:val="24"/>
        <w:szCs w:val="24"/>
      </w:rPr>
      <w:t>p-</w:t>
    </w:r>
    <w:r w:rsidRPr="006D6843">
      <w:rPr>
        <w:rFonts w:ascii="Times New Roman" w:hAnsi="Times New Roman" w:cs="Times New Roman"/>
        <w:sz w:val="24"/>
        <w:szCs w:val="24"/>
        <w:lang w:val="id-ID"/>
      </w:rPr>
      <w:t>ISSN: 2477-5746</w:t>
    </w:r>
    <w:r w:rsidRPr="006D6843">
      <w:rPr>
        <w:rFonts w:ascii="Times New Roman" w:hAnsi="Times New Roman" w:cs="Times New Roman"/>
        <w:sz w:val="24"/>
        <w:szCs w:val="24"/>
      </w:rPr>
      <w:t xml:space="preserve"> e-ISSN: 2502-0544</w:t>
    </w:r>
  </w:p>
  <w:p w:rsidR="000713CA" w:rsidRPr="006D6843" w:rsidRDefault="000713CA" w:rsidP="000713CA">
    <w:pPr>
      <w:pStyle w:val="Header"/>
      <w:ind w:hanging="2069"/>
      <w:rPr>
        <w:rFonts w:ascii="Times New Roman" w:hAnsi="Times New Roman" w:cs="Times New Roman"/>
        <w:sz w:val="24"/>
        <w:szCs w:val="24"/>
      </w:rPr>
    </w:pPr>
  </w:p>
  <w:p w:rsidR="000713CA" w:rsidRDefault="000713CA" w:rsidP="000713CA">
    <w:pPr>
      <w:pStyle w:val="Header"/>
      <w:ind w:hanging="2069"/>
      <w:rPr>
        <w:rFonts w:ascii="Book Antiqua" w:hAnsi="Book Antiqua"/>
      </w:rPr>
    </w:pPr>
    <w:r>
      <w:rPr>
        <w:rFonts w:ascii="Book Antiqua" w:hAnsi="Book Antiqua"/>
        <w:noProof/>
        <w:lang w:val="id-ID" w:eastAsia="id-ID"/>
      </w:rPr>
      <w:pict>
        <v:shapetype id="_x0000_t32" coordsize="21600,21600" o:spt="32" o:oned="t" path="m,l21600,21600e" filled="f">
          <v:path arrowok="t" fillok="f" o:connecttype="none"/>
          <o:lock v:ext="edit" shapetype="t"/>
        </v:shapetype>
        <v:shape id="_x0000_s2052" type="#_x0000_t32" style="position:absolute;left:0;text-align:left;margin-left:.1pt;margin-top:.85pt;width:226.65pt;height:0;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"/>
      </w:pict>
    </w:r>
  </w:p>
  <w:p w:rsidR="000713CA" w:rsidRDefault="000713CA" w:rsidP="000713CA">
    <w:pPr>
      <w:pStyle w:val="Header"/>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24736"/>
      <w:docPartObj>
        <w:docPartGallery w:val="Page Numbers (Top of Page)"/>
        <w:docPartUnique/>
      </w:docPartObj>
    </w:sdtPr>
    <w:sdtEndPr>
      <w:rPr>
        <w:rFonts w:ascii="Times New Roman" w:hAnsi="Times New Roman" w:cs="Times New Roman"/>
        <w:noProof/>
        <w:sz w:val="24"/>
        <w:szCs w:val="24"/>
      </w:rPr>
    </w:sdtEndPr>
    <w:sdtContent>
      <w:p w:rsidR="000713CA" w:rsidRPr="000713CA" w:rsidRDefault="000713CA">
        <w:pPr>
          <w:pStyle w:val="Header"/>
          <w:jc w:val="right"/>
          <w:rPr>
            <w:rFonts w:ascii="Times New Roman" w:hAnsi="Times New Roman" w:cs="Times New Roman"/>
            <w:sz w:val="24"/>
            <w:szCs w:val="24"/>
          </w:rPr>
        </w:pPr>
        <w:r w:rsidRPr="000713CA">
          <w:rPr>
            <w:rFonts w:ascii="Times New Roman" w:hAnsi="Times New Roman" w:cs="Times New Roman"/>
            <w:sz w:val="24"/>
            <w:szCs w:val="24"/>
          </w:rPr>
          <w:fldChar w:fldCharType="begin"/>
        </w:r>
        <w:r w:rsidRPr="000713CA">
          <w:rPr>
            <w:rFonts w:ascii="Times New Roman" w:hAnsi="Times New Roman" w:cs="Times New Roman"/>
            <w:sz w:val="24"/>
            <w:szCs w:val="24"/>
          </w:rPr>
          <w:instrText xml:space="preserve"> PAGE   \* MERGEFORMAT </w:instrText>
        </w:r>
        <w:r w:rsidRPr="000713CA">
          <w:rPr>
            <w:rFonts w:ascii="Times New Roman" w:hAnsi="Times New Roman" w:cs="Times New Roman"/>
            <w:sz w:val="24"/>
            <w:szCs w:val="24"/>
          </w:rPr>
          <w:fldChar w:fldCharType="separate"/>
        </w:r>
        <w:r>
          <w:rPr>
            <w:rFonts w:ascii="Times New Roman" w:hAnsi="Times New Roman" w:cs="Times New Roman"/>
            <w:noProof/>
            <w:sz w:val="24"/>
            <w:szCs w:val="24"/>
          </w:rPr>
          <w:t>83</w:t>
        </w:r>
        <w:r w:rsidRPr="000713CA">
          <w:rPr>
            <w:rFonts w:ascii="Times New Roman" w:hAnsi="Times New Roman" w:cs="Times New Roman"/>
            <w:noProof/>
            <w:sz w:val="24"/>
            <w:szCs w:val="24"/>
          </w:rPr>
          <w:fldChar w:fldCharType="end"/>
        </w:r>
      </w:p>
    </w:sdtContent>
  </w:sdt>
  <w:p w:rsidR="000713CA" w:rsidRPr="006D6843" w:rsidRDefault="000713CA" w:rsidP="000713CA">
    <w:pPr>
      <w:pStyle w:val="Header"/>
      <w:ind w:hanging="2069"/>
      <w:rPr>
        <w:rFonts w:ascii="Times New Roman" w:hAnsi="Times New Roman" w:cs="Times New Roman"/>
        <w:sz w:val="24"/>
        <w:szCs w:val="24"/>
        <w:lang w:val="id-ID"/>
      </w:rPr>
    </w:pPr>
    <w:r w:rsidRPr="006D6843">
      <w:rPr>
        <w:rFonts w:ascii="Times New Roman" w:hAnsi="Times New Roman" w:cs="Times New Roman"/>
        <w:sz w:val="24"/>
        <w:szCs w:val="24"/>
      </w:rPr>
      <w:t>Community: Volume 6, Nomor 1, April 2020</w:t>
    </w:r>
  </w:p>
  <w:p w:rsidR="000713CA" w:rsidRPr="006D6843" w:rsidRDefault="000713CA" w:rsidP="000713CA">
    <w:pPr>
      <w:pStyle w:val="Header"/>
      <w:ind w:hanging="2069"/>
      <w:rPr>
        <w:rFonts w:ascii="Times New Roman" w:hAnsi="Times New Roman" w:cs="Times New Roman"/>
        <w:sz w:val="24"/>
        <w:szCs w:val="24"/>
      </w:rPr>
    </w:pPr>
    <w:r w:rsidRPr="006D6843">
      <w:rPr>
        <w:rFonts w:ascii="Times New Roman" w:hAnsi="Times New Roman" w:cs="Times New Roman"/>
        <w:sz w:val="24"/>
        <w:szCs w:val="24"/>
      </w:rPr>
      <w:t>p-</w:t>
    </w:r>
    <w:r w:rsidRPr="006D6843">
      <w:rPr>
        <w:rFonts w:ascii="Times New Roman" w:hAnsi="Times New Roman" w:cs="Times New Roman"/>
        <w:sz w:val="24"/>
        <w:szCs w:val="24"/>
        <w:lang w:val="id-ID"/>
      </w:rPr>
      <w:t>ISSN: 2477-5746</w:t>
    </w:r>
    <w:r w:rsidRPr="006D6843">
      <w:rPr>
        <w:rFonts w:ascii="Times New Roman" w:hAnsi="Times New Roman" w:cs="Times New Roman"/>
        <w:sz w:val="24"/>
        <w:szCs w:val="24"/>
      </w:rPr>
      <w:t xml:space="preserve"> e-ISSN: 2502-0544</w:t>
    </w:r>
  </w:p>
  <w:p w:rsidR="000713CA" w:rsidRPr="006D6843" w:rsidRDefault="000713CA" w:rsidP="000713CA">
    <w:pPr>
      <w:pStyle w:val="Header"/>
      <w:ind w:hanging="2069"/>
      <w:rPr>
        <w:rFonts w:ascii="Times New Roman" w:hAnsi="Times New Roman" w:cs="Times New Roman"/>
        <w:sz w:val="24"/>
        <w:szCs w:val="24"/>
      </w:rPr>
    </w:pPr>
  </w:p>
  <w:p w:rsidR="000713CA" w:rsidRDefault="000713CA" w:rsidP="000713CA">
    <w:pPr>
      <w:pStyle w:val="Header"/>
      <w:ind w:hanging="2069"/>
      <w:rPr>
        <w:rFonts w:ascii="Book Antiqua" w:hAnsi="Book Antiqua"/>
      </w:rPr>
    </w:pPr>
    <w:r>
      <w:rPr>
        <w:rFonts w:ascii="Book Antiqua" w:hAnsi="Book Antiqua"/>
        <w:noProof/>
        <w:lang w:val="id-ID" w:eastAsia="id-ID"/>
      </w:rPr>
      <w:pict>
        <v:shapetype id="_x0000_t32" coordsize="21600,21600" o:spt="32" o:oned="t" path="m,l21600,21600e" filled="f">
          <v:path arrowok="t" fillok="f" o:connecttype="none"/>
          <o:lock v:ext="edit" shapetype="t"/>
        </v:shapetype>
        <v:shape id="AutoShape 1" o:spid="_x0000_s2051" type="#_x0000_t32" style="position:absolute;left:0;text-align:left;margin-left:.1pt;margin-top:.85pt;width:226.65pt;height:0;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"/>
      </w:pict>
    </w:r>
  </w:p>
  <w:p w:rsidR="00F75750" w:rsidRPr="008E224D" w:rsidRDefault="00F75750" w:rsidP="008E224D">
    <w:pPr>
      <w:pStyle w:val="Header"/>
      <w:ind w:hanging="2069"/>
      <w:rPr>
        <w:rFonts w:ascii="Book Antiqua" w:hAnsi="Book Antiq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933D3"/>
    <w:multiLevelType w:val="hybridMultilevel"/>
    <w:tmpl w:val="DB862FF6"/>
    <w:lvl w:ilvl="0" w:tplc="4ECECA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691B54"/>
    <w:multiLevelType w:val="hybridMultilevel"/>
    <w:tmpl w:val="AD2024CC"/>
    <w:lvl w:ilvl="0" w:tplc="E7E6E0A2">
      <w:start w:val="1"/>
      <w:numFmt w:val="lowerLetter"/>
      <w:lvlText w:val="%1."/>
      <w:lvlJc w:val="left"/>
      <w:pPr>
        <w:ind w:left="1364"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CA01A0"/>
    <w:multiLevelType w:val="hybridMultilevel"/>
    <w:tmpl w:val="7DEA055E"/>
    <w:lvl w:ilvl="0" w:tplc="F634BA8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3D77F12"/>
    <w:multiLevelType w:val="hybridMultilevel"/>
    <w:tmpl w:val="D4240D4C"/>
    <w:lvl w:ilvl="0" w:tplc="E7F2D9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6313E32"/>
    <w:multiLevelType w:val="hybridMultilevel"/>
    <w:tmpl w:val="DC006E9A"/>
    <w:lvl w:ilvl="0" w:tplc="72B4E84E">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CA64EE"/>
    <w:multiLevelType w:val="hybridMultilevel"/>
    <w:tmpl w:val="B12C6356"/>
    <w:lvl w:ilvl="0" w:tplc="62B8C7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EB0076D"/>
    <w:multiLevelType w:val="hybridMultilevel"/>
    <w:tmpl w:val="254C3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characterSpacingControl w:val="doNotCompress"/>
  <w:hdrShapeDefaults>
    <o:shapedefaults v:ext="edit" spidmax="2053"/>
    <o:shapelayout v:ext="edit">
      <o:idmap v:ext="edit" data="2"/>
      <o:rules v:ext="edit">
        <o:r id="V:Rule1" type="connector" idref="#AutoShape 1"/>
        <o:r id="V:Rule2"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C2796C"/>
    <w:rsid w:val="0000598D"/>
    <w:rsid w:val="00030F58"/>
    <w:rsid w:val="00033015"/>
    <w:rsid w:val="00033C86"/>
    <w:rsid w:val="00047265"/>
    <w:rsid w:val="00051701"/>
    <w:rsid w:val="00053FF6"/>
    <w:rsid w:val="000543E9"/>
    <w:rsid w:val="00057A96"/>
    <w:rsid w:val="000713CA"/>
    <w:rsid w:val="000868A8"/>
    <w:rsid w:val="000868D8"/>
    <w:rsid w:val="000A3C28"/>
    <w:rsid w:val="000B630D"/>
    <w:rsid w:val="000B7706"/>
    <w:rsid w:val="000D3998"/>
    <w:rsid w:val="000E0395"/>
    <w:rsid w:val="000E23A8"/>
    <w:rsid w:val="000E4386"/>
    <w:rsid w:val="000E5147"/>
    <w:rsid w:val="000F0022"/>
    <w:rsid w:val="000F7053"/>
    <w:rsid w:val="00117BE4"/>
    <w:rsid w:val="00124B16"/>
    <w:rsid w:val="001265F7"/>
    <w:rsid w:val="00134ACB"/>
    <w:rsid w:val="00165857"/>
    <w:rsid w:val="001C15BA"/>
    <w:rsid w:val="001E6BA0"/>
    <w:rsid w:val="001F6E56"/>
    <w:rsid w:val="001F74DB"/>
    <w:rsid w:val="002009AA"/>
    <w:rsid w:val="00210259"/>
    <w:rsid w:val="002151EB"/>
    <w:rsid w:val="002368C2"/>
    <w:rsid w:val="002539B1"/>
    <w:rsid w:val="00280764"/>
    <w:rsid w:val="00290C72"/>
    <w:rsid w:val="002940B0"/>
    <w:rsid w:val="002949A0"/>
    <w:rsid w:val="002A4295"/>
    <w:rsid w:val="002A4C90"/>
    <w:rsid w:val="002B5169"/>
    <w:rsid w:val="002D4112"/>
    <w:rsid w:val="002E1CEC"/>
    <w:rsid w:val="002E2DE5"/>
    <w:rsid w:val="002F12F5"/>
    <w:rsid w:val="00300BE9"/>
    <w:rsid w:val="00323934"/>
    <w:rsid w:val="00333401"/>
    <w:rsid w:val="00350819"/>
    <w:rsid w:val="003559C9"/>
    <w:rsid w:val="0035798F"/>
    <w:rsid w:val="00367671"/>
    <w:rsid w:val="00375F8B"/>
    <w:rsid w:val="0038748E"/>
    <w:rsid w:val="003952D5"/>
    <w:rsid w:val="00395A7C"/>
    <w:rsid w:val="003A5983"/>
    <w:rsid w:val="003A7C0A"/>
    <w:rsid w:val="003B0288"/>
    <w:rsid w:val="003B06EE"/>
    <w:rsid w:val="003D0A5E"/>
    <w:rsid w:val="003D10D0"/>
    <w:rsid w:val="003E08B6"/>
    <w:rsid w:val="003E32F1"/>
    <w:rsid w:val="00400D7E"/>
    <w:rsid w:val="00410397"/>
    <w:rsid w:val="004237E8"/>
    <w:rsid w:val="00423ED5"/>
    <w:rsid w:val="004431AC"/>
    <w:rsid w:val="00446095"/>
    <w:rsid w:val="00446D0B"/>
    <w:rsid w:val="00453793"/>
    <w:rsid w:val="00460D55"/>
    <w:rsid w:val="00462EDC"/>
    <w:rsid w:val="004723D7"/>
    <w:rsid w:val="004767A7"/>
    <w:rsid w:val="00490476"/>
    <w:rsid w:val="004B6101"/>
    <w:rsid w:val="004C10AC"/>
    <w:rsid w:val="004D24CF"/>
    <w:rsid w:val="004E2386"/>
    <w:rsid w:val="00502DC8"/>
    <w:rsid w:val="005055BD"/>
    <w:rsid w:val="00506C1A"/>
    <w:rsid w:val="00511CB4"/>
    <w:rsid w:val="00514CB3"/>
    <w:rsid w:val="00542C1B"/>
    <w:rsid w:val="00543349"/>
    <w:rsid w:val="005446D3"/>
    <w:rsid w:val="005514EF"/>
    <w:rsid w:val="005607A8"/>
    <w:rsid w:val="005660AC"/>
    <w:rsid w:val="00567623"/>
    <w:rsid w:val="00567C88"/>
    <w:rsid w:val="00573CAF"/>
    <w:rsid w:val="00585B80"/>
    <w:rsid w:val="00592755"/>
    <w:rsid w:val="0059448C"/>
    <w:rsid w:val="005A4273"/>
    <w:rsid w:val="005A6ACB"/>
    <w:rsid w:val="00601997"/>
    <w:rsid w:val="00601B89"/>
    <w:rsid w:val="00622929"/>
    <w:rsid w:val="0063747E"/>
    <w:rsid w:val="00637CA6"/>
    <w:rsid w:val="0064206B"/>
    <w:rsid w:val="006549D6"/>
    <w:rsid w:val="00656494"/>
    <w:rsid w:val="00673601"/>
    <w:rsid w:val="00683E02"/>
    <w:rsid w:val="00697606"/>
    <w:rsid w:val="006A115E"/>
    <w:rsid w:val="006A21B5"/>
    <w:rsid w:val="006B2CF8"/>
    <w:rsid w:val="006C5C33"/>
    <w:rsid w:val="006D48B6"/>
    <w:rsid w:val="006D51D0"/>
    <w:rsid w:val="006D6843"/>
    <w:rsid w:val="006F075E"/>
    <w:rsid w:val="006F14D8"/>
    <w:rsid w:val="006F3325"/>
    <w:rsid w:val="00730BEE"/>
    <w:rsid w:val="007439BB"/>
    <w:rsid w:val="00745F3A"/>
    <w:rsid w:val="00747ED8"/>
    <w:rsid w:val="0076232E"/>
    <w:rsid w:val="007640A0"/>
    <w:rsid w:val="00766907"/>
    <w:rsid w:val="00772DCD"/>
    <w:rsid w:val="00776420"/>
    <w:rsid w:val="00780415"/>
    <w:rsid w:val="00794530"/>
    <w:rsid w:val="00796B64"/>
    <w:rsid w:val="007A32E0"/>
    <w:rsid w:val="007B5D3D"/>
    <w:rsid w:val="007D3826"/>
    <w:rsid w:val="007D50C1"/>
    <w:rsid w:val="007F08D5"/>
    <w:rsid w:val="008040C3"/>
    <w:rsid w:val="00815658"/>
    <w:rsid w:val="00827EB0"/>
    <w:rsid w:val="00830411"/>
    <w:rsid w:val="0083112F"/>
    <w:rsid w:val="00832C4E"/>
    <w:rsid w:val="0083332C"/>
    <w:rsid w:val="0084638B"/>
    <w:rsid w:val="00856DD3"/>
    <w:rsid w:val="00867E04"/>
    <w:rsid w:val="00874B92"/>
    <w:rsid w:val="0087675D"/>
    <w:rsid w:val="0088389A"/>
    <w:rsid w:val="00884654"/>
    <w:rsid w:val="0088719A"/>
    <w:rsid w:val="008C305E"/>
    <w:rsid w:val="008C476F"/>
    <w:rsid w:val="008D1E73"/>
    <w:rsid w:val="008D3069"/>
    <w:rsid w:val="008D546A"/>
    <w:rsid w:val="008D729D"/>
    <w:rsid w:val="008E224D"/>
    <w:rsid w:val="008E3A08"/>
    <w:rsid w:val="00902C0E"/>
    <w:rsid w:val="0091258D"/>
    <w:rsid w:val="00920813"/>
    <w:rsid w:val="00944059"/>
    <w:rsid w:val="00966F14"/>
    <w:rsid w:val="00971F59"/>
    <w:rsid w:val="009739DE"/>
    <w:rsid w:val="009A12C7"/>
    <w:rsid w:val="009A5A4F"/>
    <w:rsid w:val="009B6717"/>
    <w:rsid w:val="009C021D"/>
    <w:rsid w:val="009C65E5"/>
    <w:rsid w:val="009D7ADE"/>
    <w:rsid w:val="00A1044A"/>
    <w:rsid w:val="00A12FE8"/>
    <w:rsid w:val="00A14097"/>
    <w:rsid w:val="00A62068"/>
    <w:rsid w:val="00A62776"/>
    <w:rsid w:val="00A77C9B"/>
    <w:rsid w:val="00A919C9"/>
    <w:rsid w:val="00AC1F83"/>
    <w:rsid w:val="00AE79FE"/>
    <w:rsid w:val="00AF2C17"/>
    <w:rsid w:val="00B02582"/>
    <w:rsid w:val="00B047CB"/>
    <w:rsid w:val="00B05A2B"/>
    <w:rsid w:val="00B20E9B"/>
    <w:rsid w:val="00B22997"/>
    <w:rsid w:val="00B41DAF"/>
    <w:rsid w:val="00B4542B"/>
    <w:rsid w:val="00B47CF5"/>
    <w:rsid w:val="00B51763"/>
    <w:rsid w:val="00B55164"/>
    <w:rsid w:val="00B56213"/>
    <w:rsid w:val="00B65AB5"/>
    <w:rsid w:val="00B70FB1"/>
    <w:rsid w:val="00B7149F"/>
    <w:rsid w:val="00B75CB5"/>
    <w:rsid w:val="00B84741"/>
    <w:rsid w:val="00B87753"/>
    <w:rsid w:val="00BB018C"/>
    <w:rsid w:val="00BB5927"/>
    <w:rsid w:val="00BC6EBA"/>
    <w:rsid w:val="00BD0176"/>
    <w:rsid w:val="00BE264C"/>
    <w:rsid w:val="00BE2D58"/>
    <w:rsid w:val="00BE45EE"/>
    <w:rsid w:val="00BF1D89"/>
    <w:rsid w:val="00BF27BA"/>
    <w:rsid w:val="00C0791A"/>
    <w:rsid w:val="00C13A4C"/>
    <w:rsid w:val="00C23831"/>
    <w:rsid w:val="00C2796C"/>
    <w:rsid w:val="00C43975"/>
    <w:rsid w:val="00C52ED9"/>
    <w:rsid w:val="00C57768"/>
    <w:rsid w:val="00C6121F"/>
    <w:rsid w:val="00C76FB6"/>
    <w:rsid w:val="00C9497B"/>
    <w:rsid w:val="00C95072"/>
    <w:rsid w:val="00CA6DE1"/>
    <w:rsid w:val="00CC334E"/>
    <w:rsid w:val="00CC7360"/>
    <w:rsid w:val="00CE445D"/>
    <w:rsid w:val="00CF428E"/>
    <w:rsid w:val="00D00101"/>
    <w:rsid w:val="00D05F39"/>
    <w:rsid w:val="00D14153"/>
    <w:rsid w:val="00D21A78"/>
    <w:rsid w:val="00D32271"/>
    <w:rsid w:val="00D44CC8"/>
    <w:rsid w:val="00D4717C"/>
    <w:rsid w:val="00D50BCF"/>
    <w:rsid w:val="00D616C9"/>
    <w:rsid w:val="00D63295"/>
    <w:rsid w:val="00D7252D"/>
    <w:rsid w:val="00D75BF6"/>
    <w:rsid w:val="00D83544"/>
    <w:rsid w:val="00D924C1"/>
    <w:rsid w:val="00D9479B"/>
    <w:rsid w:val="00D9496A"/>
    <w:rsid w:val="00D96D78"/>
    <w:rsid w:val="00DA22D3"/>
    <w:rsid w:val="00DB6DAD"/>
    <w:rsid w:val="00DC1057"/>
    <w:rsid w:val="00DC1B97"/>
    <w:rsid w:val="00DD2DB6"/>
    <w:rsid w:val="00DE5247"/>
    <w:rsid w:val="00DF190F"/>
    <w:rsid w:val="00DF7D69"/>
    <w:rsid w:val="00E024B1"/>
    <w:rsid w:val="00E0397B"/>
    <w:rsid w:val="00E03CA1"/>
    <w:rsid w:val="00E06398"/>
    <w:rsid w:val="00E14F0C"/>
    <w:rsid w:val="00E17795"/>
    <w:rsid w:val="00E52C35"/>
    <w:rsid w:val="00E57E7B"/>
    <w:rsid w:val="00E90CC3"/>
    <w:rsid w:val="00EA18BE"/>
    <w:rsid w:val="00EB64CD"/>
    <w:rsid w:val="00EC2ABA"/>
    <w:rsid w:val="00ED21B4"/>
    <w:rsid w:val="00ED7F57"/>
    <w:rsid w:val="00EE0152"/>
    <w:rsid w:val="00EE219B"/>
    <w:rsid w:val="00EE3F39"/>
    <w:rsid w:val="00F14104"/>
    <w:rsid w:val="00F20DD0"/>
    <w:rsid w:val="00F212AA"/>
    <w:rsid w:val="00F304C6"/>
    <w:rsid w:val="00F5763A"/>
    <w:rsid w:val="00F57D5F"/>
    <w:rsid w:val="00F6059B"/>
    <w:rsid w:val="00F6369B"/>
    <w:rsid w:val="00F75750"/>
    <w:rsid w:val="00F75CCE"/>
    <w:rsid w:val="00F80238"/>
    <w:rsid w:val="00F810F4"/>
    <w:rsid w:val="00F81617"/>
    <w:rsid w:val="00F875E5"/>
    <w:rsid w:val="00FB1B10"/>
    <w:rsid w:val="00FC13E7"/>
    <w:rsid w:val="00FC7F30"/>
    <w:rsid w:val="00FD55A6"/>
    <w:rsid w:val="00FD66BB"/>
    <w:rsid w:val="00FD7C5A"/>
    <w:rsid w:val="00FE0471"/>
    <w:rsid w:val="00FE3E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2069"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9AA"/>
  </w:style>
  <w:style w:type="paragraph" w:styleId="Heading1">
    <w:name w:val="heading 1"/>
    <w:basedOn w:val="Normal"/>
    <w:next w:val="Normal"/>
    <w:link w:val="Heading1Char"/>
    <w:uiPriority w:val="9"/>
    <w:qFormat/>
    <w:rsid w:val="0084638B"/>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6C"/>
    <w:rPr>
      <w:color w:val="0000FF" w:themeColor="hyperlink"/>
      <w:u w:val="single"/>
    </w:rPr>
  </w:style>
  <w:style w:type="paragraph" w:styleId="ListParagraph">
    <w:name w:val="List Paragraph"/>
    <w:basedOn w:val="Normal"/>
    <w:uiPriority w:val="34"/>
    <w:qFormat/>
    <w:rsid w:val="00453793"/>
    <w:pPr>
      <w:ind w:left="720"/>
      <w:contextualSpacing/>
    </w:pPr>
  </w:style>
  <w:style w:type="paragraph" w:styleId="FootnoteText">
    <w:name w:val="footnote text"/>
    <w:basedOn w:val="Normal"/>
    <w:link w:val="FootnoteTextChar"/>
    <w:uiPriority w:val="99"/>
    <w:semiHidden/>
    <w:unhideWhenUsed/>
    <w:rsid w:val="005660AC"/>
    <w:pPr>
      <w:spacing w:line="240" w:lineRule="auto"/>
    </w:pPr>
    <w:rPr>
      <w:sz w:val="20"/>
      <w:szCs w:val="20"/>
    </w:rPr>
  </w:style>
  <w:style w:type="character" w:customStyle="1" w:styleId="FootnoteTextChar">
    <w:name w:val="Footnote Text Char"/>
    <w:basedOn w:val="DefaultParagraphFont"/>
    <w:link w:val="FootnoteText"/>
    <w:uiPriority w:val="99"/>
    <w:semiHidden/>
    <w:rsid w:val="005660AC"/>
    <w:rPr>
      <w:sz w:val="20"/>
      <w:szCs w:val="20"/>
    </w:rPr>
  </w:style>
  <w:style w:type="character" w:styleId="FootnoteReference">
    <w:name w:val="footnote reference"/>
    <w:basedOn w:val="DefaultParagraphFont"/>
    <w:uiPriority w:val="99"/>
    <w:semiHidden/>
    <w:unhideWhenUsed/>
    <w:rsid w:val="005660AC"/>
    <w:rPr>
      <w:vertAlign w:val="superscript"/>
    </w:rPr>
  </w:style>
  <w:style w:type="character" w:customStyle="1" w:styleId="gen">
    <w:name w:val="gen"/>
    <w:basedOn w:val="DefaultParagraphFont"/>
    <w:rsid w:val="00460D55"/>
  </w:style>
  <w:style w:type="paragraph" w:styleId="Header">
    <w:name w:val="header"/>
    <w:basedOn w:val="Normal"/>
    <w:link w:val="HeaderChar"/>
    <w:uiPriority w:val="99"/>
    <w:unhideWhenUsed/>
    <w:rsid w:val="004767A7"/>
    <w:pPr>
      <w:tabs>
        <w:tab w:val="center" w:pos="4680"/>
        <w:tab w:val="right" w:pos="9360"/>
      </w:tabs>
      <w:spacing w:line="240" w:lineRule="auto"/>
    </w:pPr>
  </w:style>
  <w:style w:type="character" w:customStyle="1" w:styleId="HeaderChar">
    <w:name w:val="Header Char"/>
    <w:basedOn w:val="DefaultParagraphFont"/>
    <w:link w:val="Header"/>
    <w:uiPriority w:val="99"/>
    <w:rsid w:val="004767A7"/>
  </w:style>
  <w:style w:type="paragraph" w:styleId="Footer">
    <w:name w:val="footer"/>
    <w:basedOn w:val="Normal"/>
    <w:link w:val="FooterChar"/>
    <w:uiPriority w:val="99"/>
    <w:unhideWhenUsed/>
    <w:rsid w:val="004767A7"/>
    <w:pPr>
      <w:tabs>
        <w:tab w:val="center" w:pos="4680"/>
        <w:tab w:val="right" w:pos="9360"/>
      </w:tabs>
      <w:spacing w:line="240" w:lineRule="auto"/>
    </w:pPr>
  </w:style>
  <w:style w:type="character" w:customStyle="1" w:styleId="FooterChar">
    <w:name w:val="Footer Char"/>
    <w:basedOn w:val="DefaultParagraphFont"/>
    <w:link w:val="Footer"/>
    <w:uiPriority w:val="99"/>
    <w:rsid w:val="004767A7"/>
  </w:style>
  <w:style w:type="paragraph" w:styleId="HTMLPreformatted">
    <w:name w:val="HTML Preformatted"/>
    <w:basedOn w:val="Normal"/>
    <w:link w:val="HTMLPreformattedChar"/>
    <w:uiPriority w:val="99"/>
    <w:semiHidden/>
    <w:unhideWhenUsed/>
    <w:rsid w:val="00FC1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C13E7"/>
    <w:rPr>
      <w:rFonts w:ascii="Courier New" w:eastAsia="Times New Roman" w:hAnsi="Courier New" w:cs="Courier New"/>
      <w:sz w:val="20"/>
      <w:szCs w:val="20"/>
      <w:lang w:val="id-ID" w:eastAsia="id-ID"/>
    </w:rPr>
  </w:style>
  <w:style w:type="table" w:styleId="TableGrid">
    <w:name w:val="Table Grid"/>
    <w:basedOn w:val="TableNormal"/>
    <w:uiPriority w:val="39"/>
    <w:rsid w:val="00F75750"/>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F75750"/>
  </w:style>
  <w:style w:type="paragraph" w:customStyle="1" w:styleId="StyleAuthorBold">
    <w:name w:val="Style Author + Bold"/>
    <w:basedOn w:val="Normal"/>
    <w:rsid w:val="00F75750"/>
    <w:pPr>
      <w:spacing w:before="240" w:after="40" w:line="240" w:lineRule="auto"/>
      <w:ind w:left="0" w:firstLine="0"/>
      <w:jc w:val="center"/>
    </w:pPr>
    <w:rPr>
      <w:rFonts w:ascii="Times New Roman" w:eastAsia="SimSun" w:hAnsi="Times New Roman" w:cs="Times New Roman"/>
      <w:b/>
      <w:bCs/>
      <w:noProof/>
    </w:rPr>
  </w:style>
  <w:style w:type="paragraph" w:styleId="BalloonText">
    <w:name w:val="Balloon Text"/>
    <w:basedOn w:val="Normal"/>
    <w:link w:val="BalloonTextChar"/>
    <w:uiPriority w:val="99"/>
    <w:semiHidden/>
    <w:unhideWhenUsed/>
    <w:rsid w:val="00585B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B80"/>
    <w:rPr>
      <w:rFonts w:ascii="Tahoma" w:hAnsi="Tahoma" w:cs="Tahoma"/>
      <w:sz w:val="16"/>
      <w:szCs w:val="16"/>
    </w:rPr>
  </w:style>
  <w:style w:type="character" w:customStyle="1" w:styleId="Heading1Char">
    <w:name w:val="Heading 1 Char"/>
    <w:basedOn w:val="DefaultParagraphFont"/>
    <w:link w:val="Heading1"/>
    <w:rsid w:val="0084638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4638B"/>
  </w:style>
  <w:style w:type="table" w:styleId="LightShading-Accent2">
    <w:name w:val="Light Shading Accent 2"/>
    <w:basedOn w:val="TableNormal"/>
    <w:uiPriority w:val="60"/>
    <w:rsid w:val="0083332C"/>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83332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745F3A"/>
    <w:rPr>
      <w:color w:val="605E5C"/>
      <w:shd w:val="clear" w:color="auto" w:fill="E1DFDD"/>
    </w:rPr>
  </w:style>
  <w:style w:type="paragraph" w:customStyle="1" w:styleId="Default">
    <w:name w:val="Default"/>
    <w:rsid w:val="00DE5247"/>
    <w:pPr>
      <w:autoSpaceDE w:val="0"/>
      <w:autoSpaceDN w:val="0"/>
      <w:adjustRightInd w:val="0"/>
      <w:spacing w:line="240" w:lineRule="auto"/>
      <w:ind w:left="0" w:firstLine="0"/>
      <w:jc w:val="left"/>
    </w:pPr>
    <w:rPr>
      <w:rFonts w:ascii="Times New Roman" w:hAnsi="Times New Roman" w:cs="Times New Roman"/>
      <w:color w:val="000000"/>
      <w:sz w:val="24"/>
      <w:szCs w:val="24"/>
      <w:lang w:val="en-MY"/>
    </w:rPr>
  </w:style>
  <w:style w:type="character" w:styleId="CommentReference">
    <w:name w:val="annotation reference"/>
    <w:basedOn w:val="DefaultParagraphFont"/>
    <w:uiPriority w:val="99"/>
    <w:semiHidden/>
    <w:unhideWhenUsed/>
    <w:rsid w:val="00F75CCE"/>
    <w:rPr>
      <w:sz w:val="16"/>
      <w:szCs w:val="16"/>
    </w:rPr>
  </w:style>
  <w:style w:type="paragraph" w:styleId="CommentText">
    <w:name w:val="annotation text"/>
    <w:basedOn w:val="Normal"/>
    <w:link w:val="CommentTextChar"/>
    <w:uiPriority w:val="99"/>
    <w:semiHidden/>
    <w:unhideWhenUsed/>
    <w:rsid w:val="00F75CCE"/>
    <w:pPr>
      <w:spacing w:line="240" w:lineRule="auto"/>
    </w:pPr>
    <w:rPr>
      <w:sz w:val="20"/>
      <w:szCs w:val="20"/>
    </w:rPr>
  </w:style>
  <w:style w:type="character" w:customStyle="1" w:styleId="CommentTextChar">
    <w:name w:val="Comment Text Char"/>
    <w:basedOn w:val="DefaultParagraphFont"/>
    <w:link w:val="CommentText"/>
    <w:uiPriority w:val="99"/>
    <w:semiHidden/>
    <w:rsid w:val="00F75CCE"/>
    <w:rPr>
      <w:sz w:val="20"/>
      <w:szCs w:val="20"/>
    </w:rPr>
  </w:style>
  <w:style w:type="paragraph" w:styleId="CommentSubject">
    <w:name w:val="annotation subject"/>
    <w:basedOn w:val="CommentText"/>
    <w:next w:val="CommentText"/>
    <w:link w:val="CommentSubjectChar"/>
    <w:uiPriority w:val="99"/>
    <w:semiHidden/>
    <w:unhideWhenUsed/>
    <w:rsid w:val="00F75CCE"/>
    <w:rPr>
      <w:b/>
      <w:bCs/>
    </w:rPr>
  </w:style>
  <w:style w:type="character" w:customStyle="1" w:styleId="CommentSubjectChar">
    <w:name w:val="Comment Subject Char"/>
    <w:basedOn w:val="CommentTextChar"/>
    <w:link w:val="CommentSubject"/>
    <w:uiPriority w:val="99"/>
    <w:semiHidden/>
    <w:rsid w:val="00F75C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left="2069"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9AA"/>
  </w:style>
  <w:style w:type="paragraph" w:styleId="Heading1">
    <w:name w:val="heading 1"/>
    <w:basedOn w:val="Normal"/>
    <w:next w:val="Normal"/>
    <w:link w:val="Heading1Char"/>
    <w:uiPriority w:val="9"/>
    <w:qFormat/>
    <w:rsid w:val="0084638B"/>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6C"/>
    <w:rPr>
      <w:color w:val="0000FF" w:themeColor="hyperlink"/>
      <w:u w:val="single"/>
    </w:rPr>
  </w:style>
  <w:style w:type="paragraph" w:styleId="ListParagraph">
    <w:name w:val="List Paragraph"/>
    <w:basedOn w:val="Normal"/>
    <w:uiPriority w:val="34"/>
    <w:qFormat/>
    <w:rsid w:val="00453793"/>
    <w:pPr>
      <w:ind w:left="720"/>
      <w:contextualSpacing/>
    </w:pPr>
  </w:style>
  <w:style w:type="paragraph" w:styleId="FootnoteText">
    <w:name w:val="footnote text"/>
    <w:basedOn w:val="Normal"/>
    <w:link w:val="FootnoteTextChar"/>
    <w:uiPriority w:val="99"/>
    <w:semiHidden/>
    <w:unhideWhenUsed/>
    <w:rsid w:val="005660AC"/>
    <w:pPr>
      <w:spacing w:line="240" w:lineRule="auto"/>
    </w:pPr>
    <w:rPr>
      <w:sz w:val="20"/>
      <w:szCs w:val="20"/>
    </w:rPr>
  </w:style>
  <w:style w:type="character" w:customStyle="1" w:styleId="FootnoteTextChar">
    <w:name w:val="Footnote Text Char"/>
    <w:basedOn w:val="DefaultParagraphFont"/>
    <w:link w:val="FootnoteText"/>
    <w:uiPriority w:val="99"/>
    <w:semiHidden/>
    <w:rsid w:val="005660AC"/>
    <w:rPr>
      <w:sz w:val="20"/>
      <w:szCs w:val="20"/>
    </w:rPr>
  </w:style>
  <w:style w:type="character" w:styleId="FootnoteReference">
    <w:name w:val="footnote reference"/>
    <w:basedOn w:val="DefaultParagraphFont"/>
    <w:uiPriority w:val="99"/>
    <w:semiHidden/>
    <w:unhideWhenUsed/>
    <w:rsid w:val="005660AC"/>
    <w:rPr>
      <w:vertAlign w:val="superscript"/>
    </w:rPr>
  </w:style>
  <w:style w:type="character" w:customStyle="1" w:styleId="gen">
    <w:name w:val="gen"/>
    <w:basedOn w:val="DefaultParagraphFont"/>
    <w:rsid w:val="00460D55"/>
  </w:style>
  <w:style w:type="paragraph" w:styleId="Header">
    <w:name w:val="header"/>
    <w:basedOn w:val="Normal"/>
    <w:link w:val="HeaderChar"/>
    <w:uiPriority w:val="99"/>
    <w:unhideWhenUsed/>
    <w:rsid w:val="004767A7"/>
    <w:pPr>
      <w:tabs>
        <w:tab w:val="center" w:pos="4680"/>
        <w:tab w:val="right" w:pos="9360"/>
      </w:tabs>
      <w:spacing w:line="240" w:lineRule="auto"/>
    </w:pPr>
  </w:style>
  <w:style w:type="character" w:customStyle="1" w:styleId="HeaderChar">
    <w:name w:val="Header Char"/>
    <w:basedOn w:val="DefaultParagraphFont"/>
    <w:link w:val="Header"/>
    <w:uiPriority w:val="99"/>
    <w:rsid w:val="004767A7"/>
  </w:style>
  <w:style w:type="paragraph" w:styleId="Footer">
    <w:name w:val="footer"/>
    <w:basedOn w:val="Normal"/>
    <w:link w:val="FooterChar"/>
    <w:uiPriority w:val="99"/>
    <w:unhideWhenUsed/>
    <w:rsid w:val="004767A7"/>
    <w:pPr>
      <w:tabs>
        <w:tab w:val="center" w:pos="4680"/>
        <w:tab w:val="right" w:pos="9360"/>
      </w:tabs>
      <w:spacing w:line="240" w:lineRule="auto"/>
    </w:pPr>
  </w:style>
  <w:style w:type="character" w:customStyle="1" w:styleId="FooterChar">
    <w:name w:val="Footer Char"/>
    <w:basedOn w:val="DefaultParagraphFont"/>
    <w:link w:val="Footer"/>
    <w:uiPriority w:val="99"/>
    <w:rsid w:val="004767A7"/>
  </w:style>
  <w:style w:type="paragraph" w:styleId="HTMLPreformatted">
    <w:name w:val="HTML Preformatted"/>
    <w:basedOn w:val="Normal"/>
    <w:link w:val="HTMLPreformattedChar"/>
    <w:uiPriority w:val="99"/>
    <w:semiHidden/>
    <w:unhideWhenUsed/>
    <w:rsid w:val="00FC1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C13E7"/>
    <w:rPr>
      <w:rFonts w:ascii="Courier New" w:eastAsia="Times New Roman" w:hAnsi="Courier New" w:cs="Courier New"/>
      <w:sz w:val="20"/>
      <w:szCs w:val="20"/>
      <w:lang w:val="id-ID" w:eastAsia="id-ID"/>
    </w:rPr>
  </w:style>
  <w:style w:type="table" w:styleId="TableGrid">
    <w:name w:val="Table Grid"/>
    <w:basedOn w:val="TableNormal"/>
    <w:uiPriority w:val="39"/>
    <w:rsid w:val="00F75750"/>
    <w:pPr>
      <w:spacing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F75750"/>
  </w:style>
  <w:style w:type="paragraph" w:customStyle="1" w:styleId="StyleAuthorBold">
    <w:name w:val="Style Author + Bold"/>
    <w:basedOn w:val="Normal"/>
    <w:rsid w:val="00F75750"/>
    <w:pPr>
      <w:spacing w:before="240" w:after="40" w:line="240" w:lineRule="auto"/>
      <w:ind w:left="0" w:firstLine="0"/>
      <w:jc w:val="center"/>
    </w:pPr>
    <w:rPr>
      <w:rFonts w:ascii="Times New Roman" w:eastAsia="SimSun" w:hAnsi="Times New Roman" w:cs="Times New Roman"/>
      <w:b/>
      <w:bCs/>
      <w:noProof/>
    </w:rPr>
  </w:style>
  <w:style w:type="paragraph" w:styleId="BalloonText">
    <w:name w:val="Balloon Text"/>
    <w:basedOn w:val="Normal"/>
    <w:link w:val="BalloonTextChar"/>
    <w:uiPriority w:val="99"/>
    <w:semiHidden/>
    <w:unhideWhenUsed/>
    <w:rsid w:val="00585B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B80"/>
    <w:rPr>
      <w:rFonts w:ascii="Tahoma" w:hAnsi="Tahoma" w:cs="Tahoma"/>
      <w:sz w:val="16"/>
      <w:szCs w:val="16"/>
    </w:rPr>
  </w:style>
  <w:style w:type="character" w:customStyle="1" w:styleId="Heading1Char">
    <w:name w:val="Heading 1 Char"/>
    <w:basedOn w:val="DefaultParagraphFont"/>
    <w:link w:val="Heading1"/>
    <w:rsid w:val="0084638B"/>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4638B"/>
  </w:style>
  <w:style w:type="table" w:styleId="LightShading-Accent2">
    <w:name w:val="Light Shading Accent 2"/>
    <w:basedOn w:val="TableNormal"/>
    <w:uiPriority w:val="60"/>
    <w:rsid w:val="0083332C"/>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
    <w:name w:val="Light Shading"/>
    <w:basedOn w:val="TableNormal"/>
    <w:uiPriority w:val="60"/>
    <w:rsid w:val="0083332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745F3A"/>
    <w:rPr>
      <w:color w:val="605E5C"/>
      <w:shd w:val="clear" w:color="auto" w:fill="E1DFDD"/>
    </w:rPr>
  </w:style>
  <w:style w:type="paragraph" w:customStyle="1" w:styleId="Default">
    <w:name w:val="Default"/>
    <w:rsid w:val="00DE5247"/>
    <w:pPr>
      <w:autoSpaceDE w:val="0"/>
      <w:autoSpaceDN w:val="0"/>
      <w:adjustRightInd w:val="0"/>
      <w:spacing w:line="240" w:lineRule="auto"/>
      <w:ind w:left="0" w:firstLine="0"/>
      <w:jc w:val="left"/>
    </w:pPr>
    <w:rPr>
      <w:rFonts w:ascii="Times New Roman" w:hAnsi="Times New Roman" w:cs="Times New Roman"/>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Tri16</b:Tag>
    <b:SourceType>JournalArticle</b:SourceType>
    <b:Guid>{15DD42C9-6491-4B00-8AD6-A79C258673EB}</b:Guid>
    <b:Author>
      <b:Author>
        <b:NameList>
          <b:Person>
            <b:Last>Triyanto</b:Last>
          </b:Person>
        </b:NameList>
      </b:Author>
    </b:Author>
    <b:Title>Menjadi Islam Sama Dengan Menjadi Miskin (Studi Adaptasi Muallaf Tionghoa Terhadap Masyarakat Aceh)</b:Title>
    <b:JournalName>Community</b:JournalName>
    <b:Year>2016</b:Year>
    <b:Pages>230-241</b:Pages>
    <b:RefOrder>1</b:RefOrder>
  </b:Source>
  <b:Source>
    <b:Tag>Sug13</b:Tag>
    <b:SourceType>Book</b:SourceType>
    <b:Guid>{083398FF-0B0B-44EC-BCFB-02C82DC42E1B}</b:Guid>
    <b:Title>Metode Penelitian Kuantitatif Kualitatif dan R &amp; D.</b:Title>
    <b:Year>2013</b:Year>
    <b:Author>
      <b:Author>
        <b:NameList>
          <b:Person>
            <b:Last>Sugiyono</b:Last>
          </b:Person>
        </b:NameList>
      </b:Author>
    </b:Author>
    <b:City>Bandung</b:City>
    <b:Publisher>Alfabeta</b:Publisher>
    <b:RefOrder>2</b:RefOrder>
  </b:Source>
  <b:Source>
    <b:Tag>Zuh09</b:Tag>
    <b:SourceType>Book</b:SourceType>
    <b:Guid>{8AEDD522-A974-4457-9C95-F9A82F9AD382}</b:Guid>
    <b:Title> Madinah: Kota Suci, Piagam Madinah, dan Teladan Muhammad SAW</b:Title>
    <b:City>Jakarta</b:City>
    <b:Year>2009</b:Year>
    <b:Author>
      <b:Author>
        <b:NameList>
          <b:Person>
            <b:Last>Misrawi</b:Last>
            <b:First>Zuhairi</b:First>
          </b:Person>
        </b:NameList>
      </b:Author>
    </b:Author>
    <b:Publisher> PT. Kompas Media Nusantara</b:Publisher>
    <b:RefOrder>4</b:RefOrder>
  </b:Source>
  <b:Source>
    <b:Tag>Bro16</b:Tag>
    <b:SourceType>Interview</b:SourceType>
    <b:Guid>{B52D7CBC-A778-4ABF-AA3A-0190B8EAF5DD}</b:Guid>
    <b:Title>Damai Itu Indah dan Intrik Konflik </b:Title>
    <b:Year>2016</b:Year>
    <b:Author>
      <b:Interviewee>
        <b:NameList>
          <b:Person>
            <b:Last>Bromansyah</b:Last>
          </b:Person>
        </b:NameList>
      </b:Interviewee>
      <b:Interviewer>
        <b:NameList>
          <b:Person>
            <b:Last>Sakti</b:Last>
            <b:First>Cakrakusuma</b:First>
          </b:Person>
        </b:NameList>
      </b:Interviewer>
    </b:Author>
    <b:Month>Agustus</b:Month>
    <b:Day>08</b:Day>
    <b:RefOrder>3</b:RefOrder>
  </b:Source>
</b:Sources>
</file>

<file path=customXml/itemProps1.xml><?xml version="1.0" encoding="utf-8"?>
<ds:datastoreItem xmlns:ds="http://schemas.openxmlformats.org/officeDocument/2006/customXml" ds:itemID="{3EB04C50-DBA2-4BD9-9868-C232E403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10656</Words>
  <Characters>60744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Service Pack 2</Company>
  <LinksUpToDate>false</LinksUpToDate>
  <CharactersWithSpaces>71258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ASUS</cp:lastModifiedBy>
  <cp:revision>6</cp:revision>
  <dcterms:created xsi:type="dcterms:W3CDTF">2020-04-20T15:40:00Z</dcterms:created>
  <dcterms:modified xsi:type="dcterms:W3CDTF">2020-04-30T17:46:00Z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625bf53f-9a94-36a2-a9ed-64b8743ac41d</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